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99"/>
        <w:gridCol w:w="1553"/>
        <w:gridCol w:w="6279"/>
      </w:tblGrid>
      <w:tr w:rsidR="00943DD7" w:rsidTr="00943DD7">
        <w:trPr>
          <w:jc w:val="center"/>
        </w:trPr>
        <w:tc>
          <w:tcPr>
            <w:tcW w:w="1099" w:type="dxa"/>
            <w:hideMark/>
          </w:tcPr>
          <w:p w:rsidR="00943DD7" w:rsidRDefault="00943DD7">
            <w:pPr>
              <w:suppressLineNumbers/>
              <w:jc w:val="both"/>
              <w:rPr>
                <w:rFonts w:ascii="Arial" w:hAnsi="Arial"/>
                <w:b/>
                <w:bCs/>
                <w:sz w:val="26"/>
                <w:szCs w:val="26"/>
              </w:rPr>
            </w:pPr>
            <w:bookmarkStart w:id="0" w:name="NGCSBookmark"/>
            <w:bookmarkEnd w:id="0"/>
            <w:r>
              <w:rPr>
                <w:rFonts w:ascii="Arial" w:hAnsi="Arial"/>
                <w:b/>
                <w:bCs/>
                <w:sz w:val="26"/>
                <w:szCs w:val="26"/>
                <w:rtl/>
              </w:rPr>
              <w:t xml:space="preserve">בפני </w:t>
            </w:r>
          </w:p>
        </w:tc>
        <w:tc>
          <w:tcPr>
            <w:tcW w:w="7832" w:type="dxa"/>
            <w:gridSpan w:val="2"/>
          </w:tcPr>
          <w:p w:rsidR="00943DD7" w:rsidRDefault="00943DD7">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943DD7" w:rsidRDefault="00943DD7">
            <w:pPr>
              <w:suppressLineNumbers/>
              <w:rPr>
                <w:rFonts w:ascii="Arial" w:hAnsi="Arial" w:cs="FrankRuehl"/>
                <w:sz w:val="26"/>
                <w:szCs w:val="26"/>
                <w:highlight w:val="yellow"/>
                <w:rtl/>
              </w:rPr>
            </w:pPr>
          </w:p>
        </w:tc>
      </w:tr>
      <w:tr w:rsidR="00943DD7" w:rsidTr="00943DD7">
        <w:trPr>
          <w:jc w:val="center"/>
        </w:trPr>
        <w:tc>
          <w:tcPr>
            <w:tcW w:w="2652" w:type="dxa"/>
            <w:gridSpan w:val="2"/>
          </w:tcPr>
          <w:p w:rsidR="00943DD7" w:rsidRDefault="00943DD7">
            <w:pPr>
              <w:suppressLineNumbers/>
              <w:rPr>
                <w:rFonts w:ascii="Arial" w:hAnsi="Arial"/>
                <w:b/>
                <w:bCs/>
                <w:noProof w:val="0"/>
                <w:sz w:val="26"/>
                <w:szCs w:val="26"/>
              </w:rPr>
            </w:pPr>
          </w:p>
          <w:sdt>
            <w:sdtPr>
              <w:rPr>
                <w:rtl/>
              </w:rPr>
              <w:alias w:val="1180"/>
              <w:tag w:val="1180"/>
              <w:id w:val="637458750"/>
              <w:text w:multiLine="1"/>
            </w:sdtPr>
            <w:sdtEndPr/>
            <w:sdtContent>
              <w:p w:rsidR="00943DD7" w:rsidRDefault="00943DD7">
                <w:pPr>
                  <w:suppressLineNumbers/>
                  <w:rPr>
                    <w:rFonts w:ascii="Arial" w:hAnsi="Arial"/>
                    <w:b/>
                    <w:bCs/>
                    <w:noProof w:val="0"/>
                    <w:sz w:val="26"/>
                    <w:szCs w:val="26"/>
                  </w:rPr>
                </w:pPr>
                <w:r>
                  <w:rPr>
                    <w:rFonts w:ascii="Arial" w:hAnsi="Arial"/>
                    <w:b/>
                    <w:bCs/>
                    <w:noProof w:val="0"/>
                    <w:sz w:val="26"/>
                    <w:szCs w:val="26"/>
                    <w:rtl/>
                  </w:rPr>
                  <w:t>מבקשים</w:t>
                </w:r>
              </w:p>
            </w:sdtContent>
          </w:sdt>
        </w:tc>
        <w:tc>
          <w:tcPr>
            <w:tcW w:w="6279" w:type="dxa"/>
          </w:tcPr>
          <w:p w:rsidR="00943DD7" w:rsidRDefault="00943DD7">
            <w:pPr>
              <w:suppressLineNumbers/>
              <w:rPr>
                <w:rFonts w:ascii="Arial" w:hAnsi="Arial"/>
                <w:b/>
                <w:bCs/>
                <w:noProof w:val="0"/>
                <w:sz w:val="26"/>
                <w:szCs w:val="26"/>
                <w:rtl/>
              </w:rPr>
            </w:pPr>
          </w:p>
          <w:p w:rsidR="00943DD7" w:rsidRDefault="00787705" w:rsidP="00B82D47">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943DD7">
                  <w:rPr>
                    <w:rFonts w:ascii="Arial" w:hAnsi="Arial"/>
                    <w:b/>
                    <w:bCs/>
                    <w:noProof w:val="0"/>
                    <w:sz w:val="26"/>
                    <w:szCs w:val="26"/>
                    <w:rtl/>
                  </w:rPr>
                  <w:t>עזבון המנוח</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503A0579AA04416B8251018BC4016BCB"/>
                </w:placeholder>
                <w:text w:multiLine="1"/>
              </w:sdtPr>
              <w:sdtEndPr/>
              <w:sdtContent>
                <w:r w:rsidR="00B82D47">
                  <w:rPr>
                    <w:rFonts w:ascii="Arial" w:hAnsi="Arial" w:hint="cs"/>
                    <w:b/>
                    <w:bCs/>
                    <w:noProof w:val="0"/>
                    <w:sz w:val="26"/>
                    <w:szCs w:val="26"/>
                    <w:rtl/>
                  </w:rPr>
                  <w:t>ס. פ ע</w:t>
                </w:r>
              </w:sdtContent>
            </w:sdt>
            <w:r w:rsidR="00943DD7">
              <w:rPr>
                <w:rtl/>
              </w:rPr>
              <w:t xml:space="preserve"> </w:t>
            </w:r>
            <w:r w:rsidR="00943DD7">
              <w:rPr>
                <w:rFonts w:ascii="Arial" w:hAnsi="Arial"/>
                <w:b/>
                <w:bCs/>
                <w:noProof w:val="0"/>
                <w:sz w:val="26"/>
                <w:szCs w:val="26"/>
                <w:rtl/>
              </w:rPr>
              <w:t xml:space="preserve">שנשא בחייו ת.ז </w:t>
            </w:r>
            <w:r w:rsidR="00B82D47">
              <w:rPr>
                <w:rFonts w:ascii="Arial" w:hAnsi="Arial" w:hint="cs"/>
                <w:b/>
                <w:bCs/>
                <w:noProof w:val="0"/>
                <w:sz w:val="26"/>
                <w:szCs w:val="26"/>
                <w:rtl/>
              </w:rPr>
              <w:t>00000000</w:t>
            </w:r>
          </w:p>
          <w:p w:rsidR="00943DD7" w:rsidRDefault="00943DD7">
            <w:pPr>
              <w:suppressLineNumbers/>
              <w:spacing w:line="360" w:lineRule="auto"/>
              <w:rPr>
                <w:b/>
                <w:bCs/>
                <w:noProof w:val="0"/>
                <w:sz w:val="26"/>
                <w:szCs w:val="26"/>
                <w:rtl/>
              </w:rPr>
            </w:pPr>
            <w:r>
              <w:rPr>
                <w:b/>
                <w:bCs/>
                <w:noProof w:val="0"/>
                <w:sz w:val="26"/>
                <w:szCs w:val="26"/>
                <w:rtl/>
              </w:rPr>
              <w:t>באמצעות יורשיו:</w:t>
            </w:r>
          </w:p>
          <w:p w:rsidR="00943DD7" w:rsidRDefault="00787705" w:rsidP="00B82D47">
            <w:pPr>
              <w:suppressLineNumbers/>
              <w:spacing w:line="360" w:lineRule="auto"/>
              <w:rPr>
                <w:rFonts w:ascii="Arial" w:hAnsi="Arial"/>
                <w:b/>
                <w:bCs/>
                <w:noProof w:val="0"/>
                <w:sz w:val="26"/>
                <w:szCs w:val="26"/>
              </w:rPr>
            </w:pPr>
            <w:sdt>
              <w:sdtPr>
                <w:rPr>
                  <w:rFonts w:ascii="Arial" w:hAnsi="Arial"/>
                  <w:b/>
                  <w:bCs/>
                  <w:noProof w:val="0"/>
                  <w:sz w:val="26"/>
                  <w:szCs w:val="26"/>
                  <w:rtl/>
                </w:rPr>
                <w:alias w:val="1462"/>
                <w:tag w:val="1462"/>
                <w:id w:val="743922050"/>
                <w:text w:multiLine="1"/>
              </w:sdtPr>
              <w:sdtEndPr/>
              <w:sdtContent>
                <w:r w:rsidR="00943DD7">
                  <w:rPr>
                    <w:rFonts w:ascii="Arial" w:hAnsi="Arial"/>
                    <w:b/>
                    <w:bCs/>
                    <w:noProof w:val="0"/>
                    <w:sz w:val="26"/>
                    <w:szCs w:val="26"/>
                    <w:rtl/>
                  </w:rPr>
                  <w:t>1</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1"/>
                <w:tag w:val="3151"/>
                <w:id w:val="-1908832760"/>
                <w:placeholder>
                  <w:docPart w:val="503A0579AA04416B8251018BC4016BCB"/>
                </w:placeholder>
                <w:text w:multiLine="1"/>
              </w:sdtPr>
              <w:sdtEndPr/>
              <w:sdtContent>
                <w:r w:rsidR="00B82D47">
                  <w:rPr>
                    <w:rFonts w:ascii="Arial" w:hAnsi="Arial" w:hint="cs"/>
                    <w:b/>
                    <w:bCs/>
                    <w:noProof w:val="0"/>
                    <w:sz w:val="26"/>
                    <w:szCs w:val="26"/>
                    <w:rtl/>
                  </w:rPr>
                  <w:t>פ. ס. ע</w:t>
                </w:r>
              </w:sdtContent>
            </w:sdt>
            <w:r w:rsidR="00943DD7">
              <w:rPr>
                <w:rtl/>
              </w:rPr>
              <w:t xml:space="preserve"> </w:t>
            </w:r>
            <w:r w:rsidR="00B82D47">
              <w:rPr>
                <w:rFonts w:ascii="Arial" w:hAnsi="Arial" w:hint="cs"/>
                <w:b/>
                <w:bCs/>
                <w:noProof w:val="0"/>
                <w:sz w:val="26"/>
                <w:szCs w:val="26"/>
                <w:rtl/>
              </w:rPr>
              <w:t xml:space="preserve"> </w:t>
            </w:r>
            <w:r w:rsidR="00943DD7">
              <w:rPr>
                <w:rFonts w:ascii="Arial" w:hAnsi="Arial"/>
                <w:b/>
                <w:bCs/>
                <w:noProof w:val="0"/>
                <w:sz w:val="26"/>
                <w:szCs w:val="26"/>
                <w:rtl/>
              </w:rPr>
              <w:t xml:space="preserve">ת.ז </w:t>
            </w:r>
            <w:r w:rsidR="00B82D47">
              <w:rPr>
                <w:rFonts w:ascii="Arial" w:hAnsi="Arial" w:hint="cs"/>
                <w:b/>
                <w:bCs/>
                <w:noProof w:val="0"/>
                <w:sz w:val="26"/>
                <w:szCs w:val="26"/>
                <w:rtl/>
              </w:rPr>
              <w:t>000000000</w:t>
            </w:r>
          </w:p>
          <w:p w:rsidR="00943DD7" w:rsidRDefault="00943DD7" w:rsidP="00B82D47">
            <w:pPr>
              <w:suppressLineNumbers/>
              <w:rPr>
                <w:rFonts w:ascii="Arial" w:hAnsi="Arial"/>
                <w:b/>
                <w:bCs/>
                <w:noProof w:val="0"/>
                <w:sz w:val="26"/>
                <w:szCs w:val="26"/>
                <w:rtl/>
              </w:rPr>
            </w:pPr>
            <w:r>
              <w:rPr>
                <w:rFonts w:ascii="Arial" w:hAnsi="Arial"/>
                <w:b/>
                <w:bCs/>
                <w:noProof w:val="0"/>
                <w:sz w:val="26"/>
                <w:szCs w:val="26"/>
                <w:rtl/>
              </w:rPr>
              <w:t xml:space="preserve">2. </w:t>
            </w:r>
            <w:sdt>
              <w:sdtPr>
                <w:rPr>
                  <w:rFonts w:ascii="Arial" w:hAnsi="Arial"/>
                  <w:b/>
                  <w:bCs/>
                  <w:noProof w:val="0"/>
                  <w:sz w:val="26"/>
                  <w:szCs w:val="26"/>
                  <w:rtl/>
                </w:rPr>
                <w:alias w:val="3151"/>
                <w:tag w:val="3151"/>
                <w:id w:val="19822922"/>
                <w:placeholder>
                  <w:docPart w:val="694BAC718095466CAF0F4AEF22E5877E"/>
                </w:placeholder>
                <w:text w:multiLine="1"/>
              </w:sdtPr>
              <w:sdtEndPr/>
              <w:sdtContent>
                <w:r w:rsidR="00B82D47">
                  <w:rPr>
                    <w:rFonts w:ascii="Arial" w:hAnsi="Arial" w:hint="cs"/>
                    <w:b/>
                    <w:bCs/>
                    <w:noProof w:val="0"/>
                    <w:sz w:val="26"/>
                    <w:szCs w:val="26"/>
                    <w:rtl/>
                  </w:rPr>
                  <w:t xml:space="preserve">פ. ס. ע </w:t>
                </w:r>
                <w:r>
                  <w:rPr>
                    <w:rFonts w:ascii="Arial" w:hAnsi="Arial"/>
                    <w:b/>
                    <w:bCs/>
                    <w:noProof w:val="0"/>
                    <w:sz w:val="26"/>
                    <w:szCs w:val="26"/>
                    <w:rtl/>
                  </w:rPr>
                  <w:t xml:space="preserve"> ת.ז </w:t>
                </w:r>
                <w:r w:rsidR="00B82D47">
                  <w:rPr>
                    <w:rFonts w:ascii="Arial" w:hAnsi="Arial" w:hint="cs"/>
                    <w:b/>
                    <w:bCs/>
                    <w:noProof w:val="0"/>
                    <w:sz w:val="26"/>
                    <w:szCs w:val="26"/>
                    <w:rtl/>
                  </w:rPr>
                  <w:t>000000000</w:t>
                </w:r>
                <w:r>
                  <w:rPr>
                    <w:rFonts w:ascii="Arial" w:hAnsi="Arial"/>
                    <w:b/>
                    <w:bCs/>
                    <w:noProof w:val="0"/>
                    <w:sz w:val="26"/>
                    <w:szCs w:val="26"/>
                    <w:rtl/>
                  </w:rPr>
                  <w:br/>
                </w:r>
                <w:r>
                  <w:rPr>
                    <w:rFonts w:ascii="Arial" w:hAnsi="Arial"/>
                    <w:b/>
                    <w:bCs/>
                    <w:noProof w:val="0"/>
                    <w:sz w:val="26"/>
                    <w:szCs w:val="26"/>
                    <w:rtl/>
                  </w:rPr>
                  <w:br/>
                  <w:t xml:space="preserve">עזבון המנוח </w:t>
                </w:r>
                <w:r w:rsidR="00B82D47">
                  <w:rPr>
                    <w:rFonts w:ascii="Arial" w:hAnsi="Arial" w:hint="cs"/>
                    <w:b/>
                    <w:bCs/>
                    <w:noProof w:val="0"/>
                    <w:sz w:val="26"/>
                    <w:szCs w:val="26"/>
                    <w:rtl/>
                  </w:rPr>
                  <w:t>פ. ס ח</w:t>
                </w:r>
              </w:sdtContent>
            </w:sdt>
            <w:r w:rsidR="00B82D47">
              <w:rPr>
                <w:rFonts w:ascii="Arial" w:hAnsi="Arial" w:hint="cs"/>
                <w:b/>
                <w:bCs/>
                <w:noProof w:val="0"/>
                <w:sz w:val="26"/>
                <w:szCs w:val="26"/>
                <w:rtl/>
              </w:rPr>
              <w:t xml:space="preserve"> </w:t>
            </w:r>
            <w:r>
              <w:rPr>
                <w:rFonts w:ascii="Arial" w:hAnsi="Arial"/>
                <w:b/>
                <w:bCs/>
                <w:noProof w:val="0"/>
                <w:sz w:val="26"/>
                <w:szCs w:val="26"/>
                <w:rtl/>
              </w:rPr>
              <w:t xml:space="preserve">שנשא בחייו ת.ז </w:t>
            </w:r>
            <w:r w:rsidR="00B82D47">
              <w:rPr>
                <w:rFonts w:ascii="Arial" w:hAnsi="Arial" w:hint="cs"/>
                <w:b/>
                <w:bCs/>
                <w:noProof w:val="0"/>
                <w:sz w:val="26"/>
                <w:szCs w:val="26"/>
                <w:rtl/>
              </w:rPr>
              <w:t>00000000</w:t>
            </w:r>
          </w:p>
          <w:p w:rsidR="00943DD7" w:rsidRDefault="00943DD7">
            <w:pPr>
              <w:suppressLineNumbers/>
              <w:spacing w:line="360" w:lineRule="auto"/>
              <w:rPr>
                <w:rFonts w:ascii="Arial" w:hAnsi="Arial"/>
                <w:b/>
                <w:bCs/>
                <w:noProof w:val="0"/>
                <w:sz w:val="26"/>
                <w:szCs w:val="26"/>
                <w:rtl/>
              </w:rPr>
            </w:pPr>
            <w:r>
              <w:rPr>
                <w:rFonts w:ascii="Arial" w:hAnsi="Arial"/>
                <w:b/>
                <w:bCs/>
                <w:noProof w:val="0"/>
                <w:sz w:val="26"/>
                <w:szCs w:val="26"/>
                <w:rtl/>
              </w:rPr>
              <w:t>באמצעות יורשיו:</w:t>
            </w:r>
          </w:p>
          <w:p w:rsidR="00943DD7" w:rsidRDefault="00787705" w:rsidP="00B82D47">
            <w:pPr>
              <w:suppressLineNumbers/>
              <w:spacing w:line="360" w:lineRule="auto"/>
              <w:rPr>
                <w:b/>
                <w:bCs/>
                <w:noProof w:val="0"/>
                <w:sz w:val="26"/>
                <w:szCs w:val="26"/>
              </w:rPr>
            </w:pPr>
            <w:sdt>
              <w:sdtPr>
                <w:rPr>
                  <w:rFonts w:ascii="Arial" w:hAnsi="Arial"/>
                  <w:b/>
                  <w:bCs/>
                  <w:noProof w:val="0"/>
                  <w:sz w:val="26"/>
                  <w:szCs w:val="26"/>
                  <w:rtl/>
                </w:rPr>
                <w:alias w:val="1462"/>
                <w:tag w:val="1462"/>
                <w:id w:val="-577444373"/>
                <w:text w:multiLine="1"/>
              </w:sdtPr>
              <w:sdtEndPr/>
              <w:sdtContent>
                <w:r w:rsidR="00943DD7">
                  <w:rPr>
                    <w:rFonts w:ascii="Arial" w:hAnsi="Arial"/>
                    <w:b/>
                    <w:bCs/>
                    <w:noProof w:val="0"/>
                    <w:sz w:val="26"/>
                    <w:szCs w:val="26"/>
                    <w:rtl/>
                  </w:rPr>
                  <w:t>3</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1"/>
                <w:tag w:val="3151"/>
                <w:id w:val="977424175"/>
                <w:placeholder>
                  <w:docPart w:val="503A0579AA04416B8251018BC4016BCB"/>
                </w:placeholder>
                <w:text w:multiLine="1"/>
              </w:sdtPr>
              <w:sdtEndPr/>
              <w:sdtContent>
                <w:r w:rsidR="00B82D47">
                  <w:rPr>
                    <w:rFonts w:ascii="Arial" w:hAnsi="Arial" w:hint="cs"/>
                    <w:b/>
                    <w:bCs/>
                    <w:noProof w:val="0"/>
                    <w:sz w:val="26"/>
                    <w:szCs w:val="26"/>
                    <w:rtl/>
                  </w:rPr>
                  <w:t xml:space="preserve">ד. ס. ח </w:t>
                </w:r>
              </w:sdtContent>
            </w:sdt>
            <w:r w:rsidR="00943DD7">
              <w:rPr>
                <w:rtl/>
              </w:rPr>
              <w:t xml:space="preserve"> </w:t>
            </w:r>
            <w:r w:rsidR="00943DD7">
              <w:rPr>
                <w:rFonts w:ascii="Arial" w:hAnsi="Arial"/>
                <w:b/>
                <w:bCs/>
                <w:noProof w:val="0"/>
                <w:sz w:val="26"/>
                <w:szCs w:val="26"/>
                <w:rtl/>
              </w:rPr>
              <w:t xml:space="preserve">ת.ז </w:t>
            </w:r>
            <w:r w:rsidR="00B82D47">
              <w:rPr>
                <w:rFonts w:ascii="Arial" w:hAnsi="Arial" w:hint="cs"/>
                <w:b/>
                <w:bCs/>
                <w:noProof w:val="0"/>
                <w:sz w:val="26"/>
                <w:szCs w:val="26"/>
                <w:rtl/>
              </w:rPr>
              <w:t>000000000</w:t>
            </w:r>
          </w:p>
          <w:p w:rsidR="00943DD7" w:rsidRDefault="00787705" w:rsidP="00B82D47">
            <w:pPr>
              <w:suppressLineNumbers/>
              <w:rPr>
                <w:rFonts w:ascii="Arial" w:hAnsi="Arial"/>
                <w:b/>
                <w:bCs/>
                <w:noProof w:val="0"/>
                <w:sz w:val="26"/>
                <w:szCs w:val="26"/>
              </w:rPr>
            </w:pPr>
            <w:sdt>
              <w:sdtPr>
                <w:rPr>
                  <w:rFonts w:ascii="Arial" w:hAnsi="Arial"/>
                  <w:b/>
                  <w:bCs/>
                  <w:noProof w:val="0"/>
                  <w:sz w:val="26"/>
                  <w:szCs w:val="26"/>
                  <w:rtl/>
                </w:rPr>
                <w:alias w:val="1462"/>
                <w:tag w:val="1462"/>
                <w:id w:val="-926262009"/>
                <w:text w:multiLine="1"/>
              </w:sdtPr>
              <w:sdtEndPr/>
              <w:sdtContent>
                <w:r w:rsidR="00943DD7">
                  <w:rPr>
                    <w:rFonts w:ascii="Arial" w:hAnsi="Arial"/>
                    <w:b/>
                    <w:bCs/>
                    <w:noProof w:val="0"/>
                    <w:sz w:val="26"/>
                    <w:szCs w:val="26"/>
                    <w:rtl/>
                  </w:rPr>
                  <w:t>4</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1"/>
                <w:tag w:val="3151"/>
                <w:id w:val="-1483383150"/>
                <w:placeholder>
                  <w:docPart w:val="503A0579AA04416B8251018BC4016BCB"/>
                </w:placeholder>
                <w:text w:multiLine="1"/>
              </w:sdtPr>
              <w:sdtEndPr/>
              <w:sdtContent>
                <w:r w:rsidR="00B82D47">
                  <w:rPr>
                    <w:rFonts w:ascii="Arial" w:hAnsi="Arial" w:hint="cs"/>
                    <w:b/>
                    <w:bCs/>
                    <w:noProof w:val="0"/>
                    <w:sz w:val="26"/>
                    <w:szCs w:val="26"/>
                    <w:rtl/>
                  </w:rPr>
                  <w:t xml:space="preserve">ס. פ. ח </w:t>
                </w:r>
              </w:sdtContent>
            </w:sdt>
            <w:r w:rsidR="00943DD7">
              <w:rPr>
                <w:rtl/>
              </w:rPr>
              <w:t xml:space="preserve"> </w:t>
            </w:r>
            <w:r w:rsidR="00943DD7">
              <w:rPr>
                <w:rFonts w:ascii="Arial" w:hAnsi="Arial"/>
                <w:b/>
                <w:bCs/>
                <w:noProof w:val="0"/>
                <w:sz w:val="26"/>
                <w:szCs w:val="26"/>
                <w:rtl/>
              </w:rPr>
              <w:t xml:space="preserve">ת.ז </w:t>
            </w:r>
            <w:r w:rsidR="00B82D47">
              <w:rPr>
                <w:rFonts w:ascii="Arial" w:hAnsi="Arial" w:hint="cs"/>
                <w:b/>
                <w:bCs/>
                <w:noProof w:val="0"/>
                <w:sz w:val="26"/>
                <w:szCs w:val="26"/>
                <w:rtl/>
              </w:rPr>
              <w:t>000000000</w:t>
            </w:r>
          </w:p>
          <w:p w:rsidR="00943DD7" w:rsidRDefault="00943DD7">
            <w:pPr>
              <w:suppressLineNumbers/>
              <w:rPr>
                <w:b/>
                <w:bCs/>
                <w:noProof w:val="0"/>
                <w:sz w:val="26"/>
                <w:szCs w:val="26"/>
                <w:rtl/>
              </w:rPr>
            </w:pPr>
          </w:p>
          <w:p w:rsidR="00943DD7" w:rsidRDefault="00787705" w:rsidP="00B82D47">
            <w:pPr>
              <w:suppressLineNumbers/>
              <w:rPr>
                <w:rFonts w:ascii="Arial" w:hAnsi="Arial"/>
                <w:b/>
                <w:bCs/>
                <w:noProof w:val="0"/>
                <w:sz w:val="26"/>
                <w:szCs w:val="26"/>
              </w:rPr>
            </w:pPr>
            <w:sdt>
              <w:sdtPr>
                <w:rPr>
                  <w:rFonts w:ascii="Arial" w:hAnsi="Arial"/>
                  <w:b/>
                  <w:bCs/>
                  <w:noProof w:val="0"/>
                  <w:sz w:val="26"/>
                  <w:szCs w:val="26"/>
                  <w:rtl/>
                </w:rPr>
                <w:alias w:val="3151"/>
                <w:tag w:val="3151"/>
                <w:id w:val="802966603"/>
                <w:placeholder>
                  <w:docPart w:val="503A0579AA04416B8251018BC4016BCB"/>
                </w:placeholder>
                <w:text w:multiLine="1"/>
              </w:sdtPr>
              <w:sdtEndPr/>
              <w:sdtContent>
                <w:r w:rsidR="00B82D47">
                  <w:rPr>
                    <w:rFonts w:ascii="Arial" w:hAnsi="Arial"/>
                    <w:b/>
                    <w:bCs/>
                    <w:noProof w:val="0"/>
                    <w:sz w:val="26"/>
                    <w:szCs w:val="26"/>
                    <w:rtl/>
                  </w:rPr>
                  <w:t>עזבון המנוחה פ</w:t>
                </w:r>
                <w:r w:rsidR="00B82D47">
                  <w:rPr>
                    <w:rFonts w:ascii="Arial" w:hAnsi="Arial" w:hint="cs"/>
                    <w:b/>
                    <w:bCs/>
                    <w:noProof w:val="0"/>
                    <w:sz w:val="26"/>
                    <w:szCs w:val="26"/>
                    <w:rtl/>
                  </w:rPr>
                  <w:t xml:space="preserve">. ע </w:t>
                </w:r>
              </w:sdtContent>
            </w:sdt>
            <w:r w:rsidR="00943DD7">
              <w:rPr>
                <w:rtl/>
              </w:rPr>
              <w:t xml:space="preserve"> </w:t>
            </w:r>
            <w:r w:rsidR="00943DD7">
              <w:rPr>
                <w:rFonts w:ascii="Arial" w:hAnsi="Arial"/>
                <w:b/>
                <w:bCs/>
                <w:noProof w:val="0"/>
                <w:sz w:val="26"/>
                <w:szCs w:val="26"/>
                <w:rtl/>
              </w:rPr>
              <w:t xml:space="preserve">שנשאה בחייה ת.ז </w:t>
            </w:r>
            <w:r w:rsidR="00B82D47">
              <w:rPr>
                <w:rFonts w:ascii="Arial" w:hAnsi="Arial" w:hint="cs"/>
                <w:b/>
                <w:bCs/>
                <w:noProof w:val="0"/>
                <w:sz w:val="26"/>
                <w:szCs w:val="26"/>
                <w:rtl/>
              </w:rPr>
              <w:t>0000000</w:t>
            </w:r>
          </w:p>
          <w:p w:rsidR="00943DD7" w:rsidRDefault="00943DD7">
            <w:pPr>
              <w:suppressLineNumbers/>
              <w:spacing w:line="360" w:lineRule="auto"/>
              <w:rPr>
                <w:b/>
                <w:bCs/>
                <w:noProof w:val="0"/>
                <w:sz w:val="26"/>
                <w:szCs w:val="26"/>
                <w:rtl/>
              </w:rPr>
            </w:pPr>
            <w:r>
              <w:rPr>
                <w:b/>
                <w:bCs/>
                <w:noProof w:val="0"/>
                <w:sz w:val="26"/>
                <w:szCs w:val="26"/>
                <w:rtl/>
              </w:rPr>
              <w:t>באמצעות יורשיה:</w:t>
            </w:r>
          </w:p>
          <w:p w:rsidR="00943DD7" w:rsidRDefault="00943DD7" w:rsidP="00B82D47">
            <w:pPr>
              <w:suppressLineNumbers/>
              <w:rPr>
                <w:b/>
                <w:bCs/>
                <w:noProof w:val="0"/>
                <w:sz w:val="26"/>
                <w:szCs w:val="26"/>
                <w:rtl/>
              </w:rPr>
            </w:pPr>
            <w:r>
              <w:rPr>
                <w:b/>
                <w:bCs/>
                <w:noProof w:val="0"/>
                <w:sz w:val="26"/>
                <w:szCs w:val="26"/>
                <w:rtl/>
              </w:rPr>
              <w:t xml:space="preserve">5. </w:t>
            </w:r>
            <w:r w:rsidR="00B82D47">
              <w:rPr>
                <w:rFonts w:hint="cs"/>
                <w:b/>
                <w:bCs/>
                <w:noProof w:val="0"/>
                <w:sz w:val="26"/>
                <w:szCs w:val="26"/>
                <w:rtl/>
              </w:rPr>
              <w:t>פ. ס. ע</w:t>
            </w:r>
            <w:r>
              <w:rPr>
                <w:rFonts w:ascii="Arial" w:hAnsi="Arial"/>
                <w:b/>
                <w:bCs/>
                <w:noProof w:val="0"/>
                <w:sz w:val="26"/>
                <w:szCs w:val="26"/>
                <w:rtl/>
              </w:rPr>
              <w:t xml:space="preserve"> ת.ז </w:t>
            </w:r>
            <w:r w:rsidR="00B82D47">
              <w:rPr>
                <w:rFonts w:ascii="Arial" w:hAnsi="Arial" w:hint="cs"/>
                <w:b/>
                <w:bCs/>
                <w:noProof w:val="0"/>
                <w:sz w:val="26"/>
                <w:szCs w:val="26"/>
                <w:rtl/>
              </w:rPr>
              <w:t>00000000</w:t>
            </w:r>
          </w:p>
          <w:p w:rsidR="00943DD7" w:rsidRDefault="00943DD7">
            <w:pPr>
              <w:suppressLineNumbers/>
              <w:rPr>
                <w:b/>
                <w:bCs/>
                <w:noProof w:val="0"/>
                <w:sz w:val="26"/>
                <w:szCs w:val="26"/>
                <w:rtl/>
              </w:rPr>
            </w:pPr>
          </w:p>
          <w:p w:rsidR="00943DD7" w:rsidRPr="00943DD7" w:rsidRDefault="00943DD7">
            <w:pPr>
              <w:suppressLineNumbers/>
              <w:spacing w:line="360" w:lineRule="auto"/>
              <w:rPr>
                <w:noProof w:val="0"/>
                <w:sz w:val="26"/>
                <w:szCs w:val="26"/>
                <w:rtl/>
              </w:rPr>
            </w:pPr>
            <w:r w:rsidRPr="00943DD7">
              <w:rPr>
                <w:noProof w:val="0"/>
                <w:sz w:val="26"/>
                <w:szCs w:val="26"/>
                <w:rtl/>
              </w:rPr>
              <w:t xml:space="preserve">כולם ע"י ב"כ עוה"ד ס. סמור </w:t>
            </w:r>
          </w:p>
        </w:tc>
      </w:tr>
      <w:tr w:rsidR="00943DD7" w:rsidTr="00943DD7">
        <w:trPr>
          <w:jc w:val="center"/>
        </w:trPr>
        <w:tc>
          <w:tcPr>
            <w:tcW w:w="8931" w:type="dxa"/>
            <w:gridSpan w:val="3"/>
          </w:tcPr>
          <w:p w:rsidR="00943DD7" w:rsidRDefault="00943DD7">
            <w:pPr>
              <w:suppressLineNumbers/>
              <w:rPr>
                <w:rFonts w:ascii="Arial" w:hAnsi="Arial"/>
                <w:b/>
                <w:bCs/>
                <w:noProof w:val="0"/>
                <w:sz w:val="26"/>
                <w:szCs w:val="26"/>
              </w:rPr>
            </w:pPr>
          </w:p>
          <w:p w:rsidR="00943DD7" w:rsidRDefault="00943DD7">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3DD7" w:rsidRDefault="00943DD7">
            <w:pPr>
              <w:suppressLineNumbers/>
              <w:rPr>
                <w:rFonts w:ascii="Arial" w:hAnsi="Arial"/>
                <w:b/>
                <w:bCs/>
                <w:noProof w:val="0"/>
                <w:sz w:val="26"/>
                <w:szCs w:val="26"/>
                <w:rtl/>
              </w:rPr>
            </w:pPr>
          </w:p>
        </w:tc>
      </w:tr>
      <w:tr w:rsidR="00943DD7" w:rsidTr="00943DD7">
        <w:trPr>
          <w:jc w:val="center"/>
        </w:trPr>
        <w:tc>
          <w:tcPr>
            <w:tcW w:w="2652" w:type="dxa"/>
            <w:gridSpan w:val="2"/>
            <w:hideMark/>
          </w:tcPr>
          <w:p w:rsidR="00943DD7" w:rsidRDefault="00787705">
            <w:pPr>
              <w:suppressLineNumbers/>
              <w:rPr>
                <w:rFonts w:ascii="Arial" w:hAnsi="Arial"/>
                <w:b/>
                <w:bCs/>
                <w:noProof w:val="0"/>
                <w:sz w:val="26"/>
                <w:szCs w:val="26"/>
              </w:rPr>
            </w:pPr>
            <w:sdt>
              <w:sdtPr>
                <w:rPr>
                  <w:rtl/>
                </w:rPr>
                <w:alias w:val="1184"/>
                <w:tag w:val="1184"/>
                <w:id w:val="-340621022"/>
                <w:text w:multiLine="1"/>
              </w:sdtPr>
              <w:sdtEndPr/>
              <w:sdtContent>
                <w:r w:rsidR="00943DD7">
                  <w:rPr>
                    <w:rFonts w:ascii="Arial" w:hAnsi="Arial"/>
                    <w:b/>
                    <w:bCs/>
                    <w:noProof w:val="0"/>
                    <w:sz w:val="26"/>
                    <w:szCs w:val="26"/>
                    <w:rtl/>
                  </w:rPr>
                  <w:t>משיבים</w:t>
                </w:r>
              </w:sdtContent>
            </w:sdt>
          </w:p>
        </w:tc>
        <w:tc>
          <w:tcPr>
            <w:tcW w:w="6279" w:type="dxa"/>
            <w:hideMark/>
          </w:tcPr>
          <w:p w:rsidR="00943DD7" w:rsidRDefault="00787705" w:rsidP="00B82D47">
            <w:pPr>
              <w:suppressLineNumbers/>
              <w:spacing w:line="360" w:lineRule="auto"/>
            </w:pPr>
            <w:sdt>
              <w:sdtPr>
                <w:rPr>
                  <w:rtl/>
                </w:rPr>
                <w:alias w:val="1571"/>
                <w:tag w:val="1571"/>
                <w:id w:val="1028836282"/>
                <w:text w:multiLine="1"/>
              </w:sdtPr>
              <w:sdtEndPr/>
              <w:sdtContent>
                <w:r w:rsidR="00943DD7">
                  <w:rPr>
                    <w:rFonts w:ascii="Arial" w:hAnsi="Arial"/>
                    <w:b/>
                    <w:bCs/>
                    <w:noProof w:val="0"/>
                    <w:sz w:val="26"/>
                    <w:szCs w:val="26"/>
                    <w:rtl/>
                  </w:rPr>
                  <w:t>1</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E5B627C5CECD49258F29A768F27C588B"/>
                </w:placeholder>
                <w:text w:multiLine="1"/>
              </w:sdtPr>
              <w:sdtEndPr/>
              <w:sdtContent>
                <w:r w:rsidR="00B82D47">
                  <w:rPr>
                    <w:rFonts w:ascii="Arial" w:hAnsi="Arial" w:hint="cs"/>
                    <w:b/>
                    <w:bCs/>
                    <w:noProof w:val="0"/>
                    <w:sz w:val="26"/>
                    <w:szCs w:val="26"/>
                    <w:rtl/>
                  </w:rPr>
                  <w:t>מ. ח</w:t>
                </w:r>
              </w:sdtContent>
            </w:sdt>
            <w:r w:rsidR="00943DD7">
              <w:rPr>
                <w:rtl/>
              </w:rPr>
              <w:t xml:space="preserve"> </w:t>
            </w:r>
            <w:r w:rsidR="00943DD7">
              <w:rPr>
                <w:rFonts w:ascii="Arial" w:hAnsi="Arial"/>
                <w:b/>
                <w:bCs/>
                <w:noProof w:val="0"/>
                <w:sz w:val="26"/>
                <w:szCs w:val="26"/>
                <w:rtl/>
              </w:rPr>
              <w:t xml:space="preserve">ת.ז </w:t>
            </w:r>
            <w:r w:rsidR="00B82D47">
              <w:rPr>
                <w:rFonts w:ascii="Arial" w:hAnsi="Arial" w:hint="cs"/>
                <w:b/>
                <w:bCs/>
                <w:noProof w:val="0"/>
                <w:sz w:val="26"/>
                <w:szCs w:val="26"/>
                <w:rtl/>
              </w:rPr>
              <w:t>00000000</w:t>
            </w:r>
          </w:p>
          <w:p w:rsidR="00943DD7" w:rsidRDefault="00787705" w:rsidP="00B82D47">
            <w:pPr>
              <w:suppressLineNumbers/>
              <w:spacing w:line="360" w:lineRule="auto"/>
              <w:rPr>
                <w:rFonts w:ascii="Arial" w:hAnsi="Arial"/>
                <w:b/>
                <w:bCs/>
                <w:noProof w:val="0"/>
                <w:sz w:val="26"/>
                <w:szCs w:val="26"/>
                <w:rtl/>
              </w:rPr>
            </w:pPr>
            <w:sdt>
              <w:sdtPr>
                <w:rPr>
                  <w:rtl/>
                </w:rPr>
                <w:alias w:val="1571"/>
                <w:tag w:val="1571"/>
                <w:id w:val="-1457245529"/>
                <w:text w:multiLine="1"/>
              </w:sdtPr>
              <w:sdtEndPr/>
              <w:sdtContent>
                <w:r w:rsidR="00943DD7">
                  <w:rPr>
                    <w:rFonts w:ascii="Arial" w:hAnsi="Arial"/>
                    <w:b/>
                    <w:bCs/>
                    <w:noProof w:val="0"/>
                    <w:sz w:val="26"/>
                    <w:szCs w:val="26"/>
                    <w:rtl/>
                  </w:rPr>
                  <w:t>2</w:t>
                </w:r>
              </w:sdtContent>
            </w:sdt>
            <w:r w:rsidR="00943DD7">
              <w:rPr>
                <w:rFonts w:ascii="Arial" w:hAnsi="Arial"/>
                <w:b/>
                <w:bCs/>
                <w:noProof w:val="0"/>
                <w:sz w:val="26"/>
                <w:szCs w:val="26"/>
                <w:rtl/>
              </w:rPr>
              <w:t xml:space="preserve">. </w:t>
            </w:r>
            <w:sdt>
              <w:sdtPr>
                <w:rPr>
                  <w:rFonts w:ascii="Arial" w:hAnsi="Arial"/>
                  <w:b/>
                  <w:bCs/>
                  <w:noProof w:val="0"/>
                  <w:sz w:val="26"/>
                  <w:szCs w:val="26"/>
                  <w:rtl/>
                </w:rPr>
                <w:alias w:val="3152"/>
                <w:tag w:val="3152"/>
                <w:id w:val="-330751703"/>
                <w:placeholder>
                  <w:docPart w:val="E5B627C5CECD49258F29A768F27C588B"/>
                </w:placeholder>
                <w:text w:multiLine="1"/>
              </w:sdtPr>
              <w:sdtEndPr/>
              <w:sdtContent>
                <w:r w:rsidR="00B82D47">
                  <w:rPr>
                    <w:rFonts w:ascii="Arial" w:hAnsi="Arial" w:hint="cs"/>
                    <w:b/>
                    <w:bCs/>
                    <w:noProof w:val="0"/>
                    <w:sz w:val="26"/>
                    <w:szCs w:val="26"/>
                    <w:rtl/>
                  </w:rPr>
                  <w:t xml:space="preserve">ג'. ח </w:t>
                </w:r>
              </w:sdtContent>
            </w:sdt>
            <w:r w:rsidR="00943DD7">
              <w:rPr>
                <w:rtl/>
              </w:rPr>
              <w:t xml:space="preserve"> </w:t>
            </w:r>
            <w:r w:rsidR="00943DD7">
              <w:rPr>
                <w:rFonts w:ascii="Arial" w:hAnsi="Arial"/>
                <w:b/>
                <w:bCs/>
                <w:noProof w:val="0"/>
                <w:sz w:val="26"/>
                <w:szCs w:val="26"/>
                <w:rtl/>
              </w:rPr>
              <w:t xml:space="preserve">ת.ז </w:t>
            </w:r>
            <w:r w:rsidR="00B82D47">
              <w:rPr>
                <w:rFonts w:ascii="Arial" w:hAnsi="Arial" w:hint="cs"/>
                <w:b/>
                <w:bCs/>
                <w:noProof w:val="0"/>
                <w:sz w:val="26"/>
                <w:szCs w:val="26"/>
                <w:rtl/>
              </w:rPr>
              <w:t>00000000</w:t>
            </w:r>
          </w:p>
          <w:p w:rsidR="00943DD7" w:rsidRDefault="00943DD7">
            <w:pPr>
              <w:suppressLineNumbers/>
              <w:spacing w:line="360" w:lineRule="auto"/>
              <w:rPr>
                <w:rtl/>
              </w:rPr>
            </w:pPr>
            <w:r>
              <w:rPr>
                <w:rFonts w:hint="cs"/>
                <w:rtl/>
              </w:rPr>
              <w:t>על ידי ב"כ עו"ד אושר הרוש</w:t>
            </w:r>
          </w:p>
        </w:tc>
      </w:tr>
    </w:tbl>
    <w:p w:rsidR="00943DD7" w:rsidRDefault="00943DD7" w:rsidP="00943DD7">
      <w:pPr>
        <w:suppressLineNumbers/>
        <w:rPr>
          <w:rtl/>
        </w:rPr>
      </w:pPr>
    </w:p>
    <w:p w:rsidR="00943DD7" w:rsidRDefault="00943DD7" w:rsidP="00943DD7">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43DD7" w:rsidTr="00943DD7">
        <w:trPr>
          <w:jc w:val="center"/>
        </w:trPr>
        <w:tc>
          <w:tcPr>
            <w:tcW w:w="8820" w:type="dxa"/>
          </w:tcPr>
          <w:p w:rsidR="00943DD7" w:rsidRDefault="00943DD7">
            <w:pPr>
              <w:bidi w:val="0"/>
              <w:spacing w:line="360" w:lineRule="auto"/>
              <w:jc w:val="center"/>
              <w:rPr>
                <w:rFonts w:ascii="Arial" w:hAnsi="Arial"/>
                <w:b/>
                <w:bCs/>
                <w:noProof w:val="0"/>
                <w:sz w:val="28"/>
                <w:szCs w:val="28"/>
                <w:u w:val="single"/>
                <w:rtl/>
              </w:rPr>
            </w:pPr>
            <w:r>
              <w:rPr>
                <w:rFonts w:ascii="Arial" w:hAnsi="Arial"/>
                <w:b/>
                <w:bCs/>
                <w:noProof w:val="0"/>
                <w:sz w:val="28"/>
                <w:szCs w:val="28"/>
                <w:u w:val="single"/>
                <w:rtl/>
              </w:rPr>
              <w:t>פסק דין</w:t>
            </w:r>
          </w:p>
          <w:p w:rsidR="00943DD7" w:rsidRDefault="00943DD7">
            <w:pPr>
              <w:bidi w:val="0"/>
              <w:jc w:val="center"/>
              <w:rPr>
                <w:rFonts w:ascii="Arial" w:hAnsi="Arial"/>
                <w:b/>
                <w:bCs/>
                <w:noProof w:val="0"/>
                <w:sz w:val="28"/>
                <w:szCs w:val="28"/>
                <w:u w:val="single"/>
                <w:rtl/>
              </w:rPr>
            </w:pPr>
          </w:p>
        </w:tc>
      </w:tr>
    </w:tbl>
    <w:p w:rsidR="00943DD7" w:rsidRDefault="00943DD7" w:rsidP="00014FF4">
      <w:pPr>
        <w:pStyle w:val="ad"/>
        <w:numPr>
          <w:ilvl w:val="0"/>
          <w:numId w:val="1"/>
        </w:numPr>
        <w:spacing w:after="120" w:line="360" w:lineRule="auto"/>
        <w:ind w:left="720"/>
        <w:contextualSpacing w:val="0"/>
        <w:jc w:val="both"/>
        <w:rPr>
          <w:rFonts w:ascii="David" w:hAnsi="David"/>
          <w:noProof w:val="0"/>
        </w:rPr>
      </w:pPr>
      <w:r>
        <w:rPr>
          <w:rFonts w:ascii="David" w:hAnsi="David"/>
          <w:noProof w:val="0"/>
          <w:rtl/>
        </w:rPr>
        <w:t xml:space="preserve">בפני בקשת רשות ערעור על החלטת בית משפט לענייני משפחה בחיפה (כב' השופטת רויטל באום) בתיק תמ"ש 26634-06-23 (להלן: </w:t>
      </w:r>
      <w:r>
        <w:rPr>
          <w:rFonts w:ascii="David" w:hAnsi="David"/>
          <w:b/>
          <w:bCs/>
          <w:noProof w:val="0"/>
          <w:rtl/>
        </w:rPr>
        <w:t>"התיק קמא"</w:t>
      </w:r>
      <w:r>
        <w:rPr>
          <w:rFonts w:ascii="David" w:hAnsi="David"/>
          <w:noProof w:val="0"/>
          <w:rtl/>
        </w:rPr>
        <w:t xml:space="preserve">) מתאריך 23.7.2023 (להלן: </w:t>
      </w:r>
      <w:r>
        <w:rPr>
          <w:rFonts w:ascii="David" w:hAnsi="David"/>
          <w:b/>
          <w:bCs/>
          <w:noProof w:val="0"/>
          <w:rtl/>
        </w:rPr>
        <w:t>"ההחלטה קמא"</w:t>
      </w:r>
      <w:r>
        <w:rPr>
          <w:rFonts w:ascii="David" w:hAnsi="David"/>
          <w:noProof w:val="0"/>
          <w:rtl/>
        </w:rPr>
        <w:t>).</w:t>
      </w:r>
    </w:p>
    <w:p w:rsidR="00943DD7" w:rsidRDefault="00943DD7" w:rsidP="00014FF4">
      <w:pPr>
        <w:pStyle w:val="ad"/>
        <w:spacing w:after="120" w:line="360" w:lineRule="auto"/>
        <w:contextualSpacing w:val="0"/>
        <w:jc w:val="both"/>
        <w:rPr>
          <w:rFonts w:ascii="David" w:hAnsi="David"/>
          <w:noProof w:val="0"/>
          <w:rtl/>
        </w:rPr>
      </w:pPr>
      <w:r>
        <w:rPr>
          <w:rFonts w:ascii="David" w:hAnsi="David"/>
          <w:noProof w:val="0"/>
          <w:rtl/>
        </w:rPr>
        <w:t xml:space="preserve">במסגרת ההחלטה קמא נדחתה בקשה לסעד זמני שהגישו המבקשים למתן צו מניעה זמני (להלן: </w:t>
      </w:r>
      <w:r>
        <w:rPr>
          <w:rFonts w:ascii="David" w:hAnsi="David"/>
          <w:b/>
          <w:bCs/>
          <w:noProof w:val="0"/>
          <w:rtl/>
        </w:rPr>
        <w:t>"הבקשה"</w:t>
      </w:r>
      <w:r>
        <w:rPr>
          <w:rFonts w:ascii="David" w:hAnsi="David"/>
          <w:noProof w:val="0"/>
          <w:rtl/>
        </w:rPr>
        <w:t xml:space="preserve">), האוסר על המשיבים לבצע עבודות בניה כלשהן במקרקעין הידועים כחלקה </w:t>
      </w:r>
      <w:r w:rsidR="00B82D47">
        <w:rPr>
          <w:rFonts w:ascii="David" w:hAnsi="David" w:hint="cs"/>
          <w:noProof w:val="0"/>
          <w:rtl/>
        </w:rPr>
        <w:t>00</w:t>
      </w:r>
      <w:r>
        <w:rPr>
          <w:rFonts w:ascii="David" w:hAnsi="David"/>
          <w:noProof w:val="0"/>
          <w:rtl/>
        </w:rPr>
        <w:t xml:space="preserve"> בגוש </w:t>
      </w:r>
      <w:r w:rsidR="00B82D47">
        <w:rPr>
          <w:rFonts w:ascii="David" w:hAnsi="David" w:hint="cs"/>
          <w:noProof w:val="0"/>
          <w:rtl/>
        </w:rPr>
        <w:t>00000</w:t>
      </w:r>
      <w:r>
        <w:rPr>
          <w:rFonts w:ascii="David" w:hAnsi="David"/>
          <w:noProof w:val="0"/>
          <w:rtl/>
        </w:rPr>
        <w:t xml:space="preserve"> מאדמות </w:t>
      </w:r>
      <w:r w:rsidR="00B82D47">
        <w:rPr>
          <w:rFonts w:ascii="David" w:hAnsi="David" w:hint="cs"/>
          <w:noProof w:val="0"/>
          <w:rtl/>
        </w:rPr>
        <w:t>...</w:t>
      </w:r>
      <w:r>
        <w:rPr>
          <w:rFonts w:ascii="David" w:hAnsi="David"/>
          <w:noProof w:val="0"/>
          <w:rtl/>
        </w:rPr>
        <w:t xml:space="preserve"> (להלן: </w:t>
      </w:r>
      <w:r>
        <w:rPr>
          <w:rFonts w:ascii="David" w:hAnsi="David"/>
          <w:b/>
          <w:bCs/>
          <w:noProof w:val="0"/>
          <w:rtl/>
        </w:rPr>
        <w:t>"המקרקעין"</w:t>
      </w:r>
      <w:r>
        <w:rPr>
          <w:rFonts w:ascii="David" w:hAnsi="David"/>
          <w:noProof w:val="0"/>
          <w:rtl/>
        </w:rPr>
        <w:t xml:space="preserve">), הכל כפי שיפורט להלן.  </w:t>
      </w:r>
    </w:p>
    <w:p w:rsidR="00B82D47" w:rsidRDefault="00B82D47" w:rsidP="00014FF4">
      <w:pPr>
        <w:pStyle w:val="ad"/>
        <w:spacing w:after="120" w:line="360" w:lineRule="auto"/>
        <w:contextualSpacing w:val="0"/>
        <w:jc w:val="both"/>
        <w:rPr>
          <w:rFonts w:ascii="David" w:hAnsi="David"/>
          <w:noProof w:val="0"/>
          <w:rtl/>
        </w:rPr>
      </w:pPr>
    </w:p>
    <w:p w:rsidR="00B82D47" w:rsidRDefault="00B82D47" w:rsidP="00014FF4">
      <w:pPr>
        <w:pStyle w:val="ad"/>
        <w:spacing w:after="120" w:line="360" w:lineRule="auto"/>
        <w:contextualSpacing w:val="0"/>
        <w:jc w:val="both"/>
        <w:rPr>
          <w:rFonts w:ascii="David" w:hAnsi="David"/>
          <w:noProof w:val="0"/>
        </w:rPr>
      </w:pPr>
    </w:p>
    <w:p w:rsidR="00943DD7" w:rsidRDefault="00943DD7" w:rsidP="00014FF4">
      <w:pPr>
        <w:spacing w:after="120" w:line="360" w:lineRule="auto"/>
        <w:ind w:left="720" w:hanging="720"/>
        <w:jc w:val="both"/>
        <w:rPr>
          <w:rFonts w:ascii="David" w:hAnsi="David"/>
          <w:noProof w:val="0"/>
          <w:rtl/>
        </w:rPr>
      </w:pPr>
      <w:r>
        <w:rPr>
          <w:rFonts w:ascii="David" w:hAnsi="David"/>
          <w:b/>
          <w:bCs/>
          <w:u w:val="single"/>
          <w:rtl/>
        </w:rPr>
        <w:lastRenderedPageBreak/>
        <w:t xml:space="preserve">רקע </w:t>
      </w:r>
    </w:p>
    <w:p w:rsidR="00943DD7" w:rsidRDefault="00943DD7" w:rsidP="00014FF4">
      <w:pPr>
        <w:spacing w:after="120" w:line="360" w:lineRule="auto"/>
        <w:ind w:left="720" w:hanging="720"/>
        <w:jc w:val="both"/>
        <w:rPr>
          <w:rFonts w:ascii="David" w:hAnsi="David"/>
          <w:rtl/>
        </w:rPr>
      </w:pPr>
      <w:r>
        <w:rPr>
          <w:rFonts w:ascii="David" w:hAnsi="David"/>
          <w:rtl/>
        </w:rPr>
        <w:t>2.</w:t>
      </w:r>
      <w:r>
        <w:rPr>
          <w:rFonts w:ascii="David" w:hAnsi="David"/>
          <w:rtl/>
        </w:rPr>
        <w:tab/>
        <w:t xml:space="preserve">המבקשים הם יורשיו ויורשי יורשיו של המנוח </w:t>
      </w:r>
      <w:r w:rsidR="00B82D47">
        <w:rPr>
          <w:rFonts w:ascii="David" w:hAnsi="David" w:hint="cs"/>
          <w:rtl/>
        </w:rPr>
        <w:t>ס. פ. ע</w:t>
      </w:r>
      <w:r>
        <w:rPr>
          <w:rFonts w:ascii="David" w:hAnsi="David"/>
          <w:rtl/>
        </w:rPr>
        <w:t xml:space="preserve"> ז"ל (להלן: </w:t>
      </w:r>
      <w:r>
        <w:rPr>
          <w:rFonts w:ascii="David" w:hAnsi="David"/>
          <w:b/>
          <w:bCs/>
          <w:rtl/>
        </w:rPr>
        <w:t>"המנוח"</w:t>
      </w:r>
      <w:r>
        <w:rPr>
          <w:rFonts w:ascii="David" w:hAnsi="David"/>
          <w:rtl/>
        </w:rPr>
        <w:t xml:space="preserve">), שהינו אחיו של המשיב 1 (להלן: </w:t>
      </w:r>
      <w:r>
        <w:rPr>
          <w:rFonts w:ascii="David" w:hAnsi="David"/>
          <w:b/>
          <w:bCs/>
          <w:rtl/>
        </w:rPr>
        <w:t>"</w:t>
      </w:r>
      <w:r w:rsidR="00B82D47">
        <w:rPr>
          <w:rFonts w:ascii="David" w:hAnsi="David" w:hint="cs"/>
          <w:b/>
          <w:bCs/>
          <w:rtl/>
        </w:rPr>
        <w:t xml:space="preserve">מ' </w:t>
      </w:r>
      <w:r>
        <w:rPr>
          <w:rFonts w:ascii="David" w:hAnsi="David"/>
          <w:b/>
          <w:bCs/>
          <w:rtl/>
        </w:rPr>
        <w:t>"</w:t>
      </w:r>
      <w:r>
        <w:rPr>
          <w:rFonts w:ascii="David" w:hAnsi="David"/>
          <w:rtl/>
        </w:rPr>
        <w:t>).</w:t>
      </w:r>
    </w:p>
    <w:p w:rsidR="00943DD7" w:rsidRDefault="00943DD7" w:rsidP="00014FF4">
      <w:pPr>
        <w:spacing w:after="120" w:line="360" w:lineRule="auto"/>
        <w:ind w:left="720" w:hanging="720"/>
        <w:jc w:val="both"/>
        <w:rPr>
          <w:rFonts w:ascii="David" w:hAnsi="David"/>
          <w:rtl/>
        </w:rPr>
      </w:pPr>
      <w:r>
        <w:rPr>
          <w:rFonts w:ascii="David" w:hAnsi="David"/>
          <w:rtl/>
        </w:rPr>
        <w:t>3.</w:t>
      </w:r>
      <w:r>
        <w:rPr>
          <w:rFonts w:ascii="David" w:hAnsi="David"/>
          <w:rtl/>
        </w:rPr>
        <w:tab/>
        <w:t xml:space="preserve">המבקשים הגישו ביום 20/6/23 כתב תביעה נגד המשיבים בו טענו, כי המנוח קיבל </w:t>
      </w:r>
      <w:r w:rsidR="00B82D47">
        <w:rPr>
          <w:rFonts w:ascii="David" w:hAnsi="David" w:hint="cs"/>
          <w:rtl/>
        </w:rPr>
        <w:t>מ-מ'</w:t>
      </w:r>
      <w:r>
        <w:rPr>
          <w:rFonts w:ascii="David" w:hAnsi="David"/>
          <w:rtl/>
        </w:rPr>
        <w:t xml:space="preserve"> אחיו במתנה ביום 18.12.2002 (להלן: </w:t>
      </w:r>
      <w:r>
        <w:rPr>
          <w:rFonts w:ascii="David" w:hAnsi="David"/>
          <w:b/>
          <w:bCs/>
          <w:rtl/>
        </w:rPr>
        <w:t>"יום המתנה"</w:t>
      </w:r>
      <w:r>
        <w:rPr>
          <w:rFonts w:ascii="David" w:hAnsi="David"/>
          <w:rtl/>
        </w:rPr>
        <w:t xml:space="preserve">) שטח של 1479/27596 חלקים מזכויותיו במקרקעין (להלן: </w:t>
      </w:r>
      <w:r>
        <w:rPr>
          <w:rFonts w:ascii="David" w:hAnsi="David"/>
          <w:b/>
          <w:bCs/>
          <w:rtl/>
        </w:rPr>
        <w:t>"שטח המתנה"</w:t>
      </w:r>
      <w:r>
        <w:rPr>
          <w:rFonts w:ascii="David" w:hAnsi="David"/>
          <w:rtl/>
        </w:rPr>
        <w:t xml:space="preserve"> או </w:t>
      </w:r>
      <w:r>
        <w:rPr>
          <w:rFonts w:ascii="David" w:hAnsi="David"/>
          <w:b/>
          <w:bCs/>
          <w:rtl/>
        </w:rPr>
        <w:t>"המתנה"</w:t>
      </w:r>
      <w:r>
        <w:rPr>
          <w:rFonts w:ascii="David" w:hAnsi="David"/>
          <w:rtl/>
        </w:rPr>
        <w:t xml:space="preserve">). </w:t>
      </w:r>
    </w:p>
    <w:p w:rsidR="00943DD7" w:rsidRDefault="00943DD7" w:rsidP="00014FF4">
      <w:pPr>
        <w:spacing w:after="120" w:line="360" w:lineRule="auto"/>
        <w:ind w:left="720" w:hanging="720"/>
        <w:jc w:val="both"/>
        <w:rPr>
          <w:rFonts w:ascii="David" w:hAnsi="David"/>
          <w:rtl/>
        </w:rPr>
      </w:pPr>
      <w:r>
        <w:rPr>
          <w:rFonts w:ascii="David" w:hAnsi="David"/>
          <w:rtl/>
        </w:rPr>
        <w:t>4.</w:t>
      </w:r>
      <w:r>
        <w:rPr>
          <w:rFonts w:ascii="David" w:hAnsi="David"/>
          <w:rtl/>
        </w:rPr>
        <w:tab/>
      </w:r>
      <w:r>
        <w:rPr>
          <w:rFonts w:ascii="David" w:hAnsi="David"/>
          <w:u w:val="single"/>
          <w:rtl/>
        </w:rPr>
        <w:t>להוכחת המתנה הנטענת צירפו המבקשים לכתב התביעה מסמכים כדלקמן</w:t>
      </w:r>
      <w:r>
        <w:rPr>
          <w:rFonts w:ascii="David" w:hAnsi="David"/>
          <w:rtl/>
        </w:rPr>
        <w:t xml:space="preserve">: </w:t>
      </w:r>
    </w:p>
    <w:p w:rsidR="00943DD7" w:rsidRDefault="00943DD7" w:rsidP="00014FF4">
      <w:pPr>
        <w:spacing w:after="120" w:line="360" w:lineRule="auto"/>
        <w:ind w:left="720" w:hanging="720"/>
        <w:jc w:val="both"/>
        <w:rPr>
          <w:rFonts w:ascii="David" w:hAnsi="David"/>
          <w:rtl/>
        </w:rPr>
      </w:pPr>
      <w:r>
        <w:rPr>
          <w:rFonts w:ascii="David" w:hAnsi="David"/>
          <w:rtl/>
        </w:rPr>
        <w:tab/>
        <w:t>א.</w:t>
      </w:r>
      <w:r>
        <w:rPr>
          <w:rFonts w:ascii="David" w:hAnsi="David"/>
          <w:rtl/>
        </w:rPr>
        <w:tab/>
        <w:t>הסכם מכר ללא תמורה על המתנה;</w:t>
      </w:r>
    </w:p>
    <w:p w:rsidR="00943DD7" w:rsidRDefault="00943DD7" w:rsidP="00014FF4">
      <w:pPr>
        <w:spacing w:after="120" w:line="360" w:lineRule="auto"/>
        <w:ind w:left="1440" w:hanging="720"/>
        <w:jc w:val="both"/>
        <w:rPr>
          <w:rFonts w:ascii="David" w:hAnsi="David"/>
          <w:rtl/>
        </w:rPr>
      </w:pPr>
      <w:r>
        <w:rPr>
          <w:rFonts w:ascii="David" w:hAnsi="David"/>
          <w:rtl/>
        </w:rPr>
        <w:t>ב.</w:t>
      </w:r>
      <w:r>
        <w:rPr>
          <w:rFonts w:ascii="David" w:hAnsi="David"/>
          <w:rtl/>
        </w:rPr>
        <w:tab/>
        <w:t>ייפוי כח בלתי חוזר מיום המתנה</w:t>
      </w:r>
      <w:r>
        <w:rPr>
          <w:rFonts w:ascii="David" w:hAnsi="David"/>
        </w:rPr>
        <w:t xml:space="preserve"> </w:t>
      </w:r>
      <w:r>
        <w:rPr>
          <w:rFonts w:ascii="David" w:hAnsi="David"/>
          <w:rtl/>
        </w:rPr>
        <w:t xml:space="preserve">חתום על ידי </w:t>
      </w:r>
      <w:r w:rsidR="00B82D47">
        <w:rPr>
          <w:rFonts w:ascii="David" w:hAnsi="David" w:hint="cs"/>
          <w:rtl/>
        </w:rPr>
        <w:t>מ'</w:t>
      </w:r>
      <w:r>
        <w:rPr>
          <w:rFonts w:ascii="David" w:hAnsi="David"/>
          <w:rtl/>
        </w:rPr>
        <w:t>, שנטען כי משמעו גם ויתור על זכותו לחזור בו מהמתנה;</w:t>
      </w:r>
    </w:p>
    <w:p w:rsidR="00943DD7" w:rsidRDefault="00943DD7" w:rsidP="00014FF4">
      <w:pPr>
        <w:spacing w:after="120" w:line="360" w:lineRule="auto"/>
        <w:ind w:left="1440" w:hanging="720"/>
        <w:jc w:val="both"/>
        <w:rPr>
          <w:rFonts w:ascii="David" w:hAnsi="David"/>
          <w:rtl/>
        </w:rPr>
      </w:pPr>
      <w:r>
        <w:rPr>
          <w:rFonts w:ascii="David" w:hAnsi="David"/>
          <w:rtl/>
        </w:rPr>
        <w:t>ג.</w:t>
      </w:r>
      <w:r>
        <w:rPr>
          <w:rFonts w:ascii="David" w:hAnsi="David"/>
          <w:rtl/>
        </w:rPr>
        <w:tab/>
        <w:t>אישורי מיסים, המלמדים כי עסקת המתנה דווחה כדין למיסוי מקרקעין;</w:t>
      </w:r>
    </w:p>
    <w:p w:rsidR="00943DD7" w:rsidRDefault="00943DD7" w:rsidP="00014FF4">
      <w:pPr>
        <w:spacing w:after="120" w:line="360" w:lineRule="auto"/>
        <w:ind w:left="1440" w:hanging="720"/>
        <w:jc w:val="both"/>
        <w:rPr>
          <w:rFonts w:ascii="David" w:hAnsi="David"/>
          <w:rtl/>
        </w:rPr>
      </w:pPr>
      <w:r>
        <w:rPr>
          <w:rFonts w:ascii="David" w:hAnsi="David"/>
          <w:rtl/>
        </w:rPr>
        <w:t>ד.</w:t>
      </w:r>
      <w:r>
        <w:rPr>
          <w:rFonts w:ascii="David" w:hAnsi="David"/>
          <w:rtl/>
        </w:rPr>
        <w:tab/>
        <w:t xml:space="preserve">נסח רישום מקרקעין היסטורי מיום 12.3.2023 (להלן: </w:t>
      </w:r>
      <w:r>
        <w:rPr>
          <w:rFonts w:ascii="David" w:hAnsi="David"/>
          <w:b/>
          <w:bCs/>
          <w:rtl/>
        </w:rPr>
        <w:t>"הנסח ההיסטורי"</w:t>
      </w:r>
      <w:r>
        <w:rPr>
          <w:rFonts w:ascii="David" w:hAnsi="David"/>
          <w:rtl/>
        </w:rPr>
        <w:t>) המלמד על רישום הערת אזהרה על אודות עסקת המתנה לטובת המנוח ביום 23.12.2002, שנמחקה בטעות, כמפורט בסעיף 25 לבקשה.</w:t>
      </w:r>
    </w:p>
    <w:p w:rsidR="00943DD7" w:rsidRDefault="00943DD7" w:rsidP="00014FF4">
      <w:pPr>
        <w:spacing w:after="120" w:line="360" w:lineRule="auto"/>
        <w:jc w:val="both"/>
        <w:rPr>
          <w:rFonts w:ascii="David" w:hAnsi="David"/>
          <w:rtl/>
        </w:rPr>
      </w:pPr>
      <w:r>
        <w:rPr>
          <w:rFonts w:ascii="David" w:hAnsi="David"/>
          <w:rtl/>
        </w:rPr>
        <w:t>5.</w:t>
      </w:r>
      <w:r>
        <w:rPr>
          <w:rFonts w:ascii="David" w:hAnsi="David"/>
          <w:rtl/>
        </w:rPr>
        <w:tab/>
        <w:t xml:space="preserve">עסקת המתנה לא נגמרה ברישום, ונטען כי המתנה מעולם לא בוטלה על ידי </w:t>
      </w:r>
      <w:r w:rsidR="00B82D47">
        <w:rPr>
          <w:rFonts w:ascii="David" w:hAnsi="David" w:hint="cs"/>
          <w:rtl/>
        </w:rPr>
        <w:t>מ'</w:t>
      </w:r>
      <w:r>
        <w:rPr>
          <w:rFonts w:ascii="David" w:hAnsi="David"/>
          <w:rtl/>
        </w:rPr>
        <w:t>.</w:t>
      </w:r>
    </w:p>
    <w:p w:rsidR="00943DD7" w:rsidRDefault="00943DD7" w:rsidP="00014FF4">
      <w:pPr>
        <w:spacing w:after="120" w:line="360" w:lineRule="auto"/>
        <w:ind w:left="720" w:hanging="720"/>
        <w:jc w:val="both"/>
        <w:rPr>
          <w:rFonts w:ascii="David" w:hAnsi="David"/>
          <w:rtl/>
        </w:rPr>
      </w:pPr>
      <w:r>
        <w:rPr>
          <w:rFonts w:ascii="David" w:hAnsi="David"/>
          <w:rtl/>
        </w:rPr>
        <w:t>6.</w:t>
      </w:r>
      <w:r>
        <w:rPr>
          <w:rFonts w:ascii="David" w:hAnsi="David"/>
          <w:rtl/>
        </w:rPr>
        <w:tab/>
        <w:t xml:space="preserve">ביום 29.8.2022 יתרת זכויותיו הרשומות של </w:t>
      </w:r>
      <w:r w:rsidR="00B82D47">
        <w:rPr>
          <w:rFonts w:ascii="David" w:hAnsi="David" w:hint="cs"/>
          <w:rtl/>
        </w:rPr>
        <w:t>מ'</w:t>
      </w:r>
      <w:r>
        <w:rPr>
          <w:rFonts w:ascii="David" w:hAnsi="David"/>
          <w:rtl/>
        </w:rPr>
        <w:t xml:space="preserve"> במקרקעין, </w:t>
      </w:r>
      <w:r>
        <w:rPr>
          <w:rFonts w:ascii="David" w:hAnsi="David"/>
          <w:b/>
          <w:bCs/>
          <w:rtl/>
        </w:rPr>
        <w:t>לרבות שטח המתנה</w:t>
      </w:r>
      <w:r>
        <w:rPr>
          <w:rFonts w:ascii="David" w:hAnsi="David"/>
          <w:rtl/>
        </w:rPr>
        <w:t xml:space="preserve">, היו 6130/27196. שטח זה העביר </w:t>
      </w:r>
      <w:r w:rsidR="00B82D47">
        <w:rPr>
          <w:rFonts w:ascii="David" w:hAnsi="David" w:hint="cs"/>
          <w:rtl/>
        </w:rPr>
        <w:t>מ'</w:t>
      </w:r>
      <w:r w:rsidR="00B82D47">
        <w:rPr>
          <w:rFonts w:ascii="David" w:hAnsi="David"/>
          <w:rtl/>
        </w:rPr>
        <w:t xml:space="preserve"> במתנה לבנו </w:t>
      </w:r>
      <w:r w:rsidR="00B82D47">
        <w:rPr>
          <w:rFonts w:ascii="David" w:hAnsi="David" w:hint="cs"/>
          <w:rtl/>
        </w:rPr>
        <w:t>ג'</w:t>
      </w:r>
      <w:r>
        <w:rPr>
          <w:rFonts w:ascii="David" w:hAnsi="David"/>
          <w:rtl/>
        </w:rPr>
        <w:t xml:space="preserve">, המשיב 2 (להלן: </w:t>
      </w:r>
      <w:r w:rsidR="00B82D47">
        <w:rPr>
          <w:rFonts w:ascii="David" w:hAnsi="David"/>
          <w:b/>
          <w:bCs/>
          <w:rtl/>
        </w:rPr>
        <w:t>"</w:t>
      </w:r>
      <w:r w:rsidR="00B82D47">
        <w:rPr>
          <w:rFonts w:ascii="David" w:hAnsi="David" w:hint="cs"/>
          <w:b/>
          <w:bCs/>
          <w:rtl/>
        </w:rPr>
        <w:t xml:space="preserve">ג' </w:t>
      </w:r>
      <w:r>
        <w:rPr>
          <w:rFonts w:ascii="David" w:hAnsi="David"/>
          <w:b/>
          <w:bCs/>
          <w:rtl/>
        </w:rPr>
        <w:t>"</w:t>
      </w:r>
      <w:r>
        <w:rPr>
          <w:rFonts w:ascii="David" w:hAnsi="David"/>
          <w:rtl/>
        </w:rPr>
        <w:t xml:space="preserve">) כעולה מהנסח ההיסטורי (להלן: </w:t>
      </w:r>
      <w:r w:rsidR="00B82D47">
        <w:rPr>
          <w:rFonts w:ascii="David" w:hAnsi="David"/>
          <w:b/>
          <w:bCs/>
          <w:rtl/>
        </w:rPr>
        <w:t xml:space="preserve">"עסקת </w:t>
      </w:r>
      <w:r w:rsidR="00B82D47">
        <w:rPr>
          <w:rFonts w:ascii="David" w:hAnsi="David" w:hint="cs"/>
          <w:b/>
          <w:bCs/>
          <w:rtl/>
        </w:rPr>
        <w:t xml:space="preserve">ג' </w:t>
      </w:r>
      <w:r>
        <w:rPr>
          <w:rFonts w:ascii="David" w:hAnsi="David"/>
          <w:b/>
          <w:bCs/>
          <w:rtl/>
        </w:rPr>
        <w:t>"</w:t>
      </w:r>
      <w:r>
        <w:rPr>
          <w:rFonts w:ascii="David" w:hAnsi="David"/>
          <w:rtl/>
        </w:rPr>
        <w:t>).</w:t>
      </w:r>
    </w:p>
    <w:p w:rsidR="00943DD7" w:rsidRDefault="00943DD7" w:rsidP="00014FF4">
      <w:pPr>
        <w:spacing w:after="120" w:line="360" w:lineRule="auto"/>
        <w:ind w:left="720" w:hanging="720"/>
        <w:jc w:val="both"/>
        <w:rPr>
          <w:rFonts w:ascii="David" w:hAnsi="David"/>
          <w:rtl/>
        </w:rPr>
      </w:pPr>
      <w:r>
        <w:rPr>
          <w:rFonts w:ascii="David" w:hAnsi="David"/>
          <w:rtl/>
        </w:rPr>
        <w:t>7.</w:t>
      </w:r>
      <w:r>
        <w:rPr>
          <w:rFonts w:ascii="David" w:hAnsi="David"/>
          <w:rtl/>
        </w:rPr>
        <w:tab/>
        <w:t xml:space="preserve">לנוכח עסקת </w:t>
      </w:r>
      <w:r w:rsidR="00B82D47">
        <w:rPr>
          <w:rFonts w:ascii="David" w:hAnsi="David" w:hint="cs"/>
          <w:rtl/>
        </w:rPr>
        <w:t xml:space="preserve">ג' </w:t>
      </w:r>
      <w:r>
        <w:rPr>
          <w:rFonts w:ascii="David" w:hAnsi="David"/>
          <w:rtl/>
        </w:rPr>
        <w:t xml:space="preserve">הוגשה, בין היתר, התובענה העיקרית קמא, במסגרתה התבקש בית משפט קמא להצהיר על תוקף עסקת המתנה וזכויותיו של המנוח מכוחה. </w:t>
      </w:r>
    </w:p>
    <w:p w:rsidR="00943DD7" w:rsidRDefault="00943DD7" w:rsidP="00014FF4">
      <w:pPr>
        <w:spacing w:after="120" w:line="360" w:lineRule="auto"/>
        <w:ind w:left="720" w:hanging="720"/>
        <w:jc w:val="both"/>
        <w:rPr>
          <w:rFonts w:ascii="David" w:hAnsi="David"/>
          <w:rtl/>
        </w:rPr>
      </w:pPr>
      <w:r>
        <w:rPr>
          <w:rFonts w:ascii="David" w:hAnsi="David"/>
          <w:rtl/>
        </w:rPr>
        <w:t>8.</w:t>
      </w:r>
      <w:r>
        <w:rPr>
          <w:rFonts w:ascii="David" w:hAnsi="David"/>
          <w:rtl/>
        </w:rPr>
        <w:tab/>
        <w:t xml:space="preserve">מעבר לכך – ציינו המבקשים בכתב התביעה קמא, כי לאחרונה המשיבים החלו לבצע במקרקעין עבודות עפר וחפירות שיש בהן לקבוע עובדות בשטח. זאת הגם שרישומי הזכויות בחלקה הן במושע ולא קיים הסכם חלוקה בין בעלי המקרקעין. </w:t>
      </w:r>
    </w:p>
    <w:p w:rsidR="00943DD7" w:rsidRDefault="00943DD7" w:rsidP="00014FF4">
      <w:pPr>
        <w:spacing w:after="120" w:line="360" w:lineRule="auto"/>
        <w:ind w:left="720" w:hanging="720"/>
        <w:jc w:val="both"/>
        <w:rPr>
          <w:rFonts w:ascii="David" w:hAnsi="David"/>
          <w:rtl/>
        </w:rPr>
      </w:pPr>
      <w:r>
        <w:rPr>
          <w:rFonts w:ascii="David" w:hAnsi="David"/>
          <w:rtl/>
        </w:rPr>
        <w:tab/>
        <w:t xml:space="preserve">לכן בין סעדי התביעה העיקרית התבקש בית משפט קמא, להוציא מלפניו צו מניעה קבוע, שימנע מהמשיבים לבצע עבודות חפירה/חציבה/בניה בשטח המקרקעין עד להסדרת הבעלות של המנוח מכוח הסכם המתנה, והסדרת הגבולות והחלוקה בין בעלי המקרקעין.   </w:t>
      </w:r>
    </w:p>
    <w:p w:rsidR="00943DD7" w:rsidRDefault="00943DD7" w:rsidP="00014FF4">
      <w:pPr>
        <w:spacing w:after="120" w:line="360" w:lineRule="auto"/>
        <w:ind w:left="720" w:hanging="720"/>
        <w:jc w:val="both"/>
        <w:rPr>
          <w:rFonts w:ascii="David" w:hAnsi="David"/>
          <w:rtl/>
        </w:rPr>
      </w:pPr>
      <w:r>
        <w:rPr>
          <w:rFonts w:ascii="David" w:hAnsi="David"/>
          <w:rtl/>
        </w:rPr>
        <w:t>9.</w:t>
      </w:r>
      <w:r>
        <w:rPr>
          <w:rFonts w:ascii="David" w:hAnsi="David"/>
          <w:rtl/>
        </w:rPr>
        <w:tab/>
        <w:t xml:space="preserve">ביום 12.6.2023, </w:t>
      </w:r>
      <w:r>
        <w:rPr>
          <w:rFonts w:ascii="David" w:hAnsi="David"/>
          <w:b/>
          <w:bCs/>
          <w:u w:val="single"/>
          <w:rtl/>
        </w:rPr>
        <w:t>כשבוע טרם הגשת כתב התביעה</w:t>
      </w:r>
      <w:r>
        <w:rPr>
          <w:rFonts w:ascii="David" w:hAnsi="David"/>
          <w:rtl/>
        </w:rPr>
        <w:t xml:space="preserve">, הגישו המבקשים בקשה לצו מניעה זמני במעמד צד אחד, במסגרתו התבקש בית משפט קמא ליתן צו זמני המורה למשיבים </w:t>
      </w:r>
      <w:r>
        <w:rPr>
          <w:rFonts w:ascii="David" w:hAnsi="David"/>
          <w:rtl/>
        </w:rPr>
        <w:lastRenderedPageBreak/>
        <w:t xml:space="preserve">להפסיק ביצוע עבודות המבוצעות על ידם במקרקעין; וכן צו שימנע ביצוע עבודת בניה ו/או חפירה ו/או חציבה במקרקעין עד למתן פסק הדין בתובענה קמא. </w:t>
      </w:r>
    </w:p>
    <w:p w:rsidR="00943DD7" w:rsidRDefault="00943DD7" w:rsidP="00014FF4">
      <w:pPr>
        <w:spacing w:after="120" w:line="360" w:lineRule="auto"/>
        <w:ind w:left="720" w:hanging="720"/>
        <w:jc w:val="both"/>
        <w:rPr>
          <w:rFonts w:ascii="David" w:hAnsi="David"/>
          <w:rtl/>
        </w:rPr>
      </w:pPr>
      <w:r>
        <w:rPr>
          <w:rFonts w:ascii="David" w:hAnsi="David"/>
          <w:rtl/>
        </w:rPr>
        <w:tab/>
        <w:t xml:space="preserve">הבהירו המבקשים בבקשתם, כי עסקינן בסעד זמני דחוף שימנע שינוי המצב הקיים במקרקעין כיום, באופן העלול לפגוע בזכויותיהם במקרקעין. </w:t>
      </w:r>
    </w:p>
    <w:p w:rsidR="00943DD7" w:rsidRDefault="00943DD7" w:rsidP="00014FF4">
      <w:pPr>
        <w:spacing w:after="120" w:line="360" w:lineRule="auto"/>
        <w:ind w:left="720" w:hanging="720"/>
        <w:jc w:val="both"/>
        <w:rPr>
          <w:rFonts w:ascii="David" w:hAnsi="David"/>
          <w:rtl/>
        </w:rPr>
      </w:pPr>
      <w:r>
        <w:rPr>
          <w:rFonts w:ascii="David" w:hAnsi="David"/>
          <w:rtl/>
        </w:rPr>
        <w:tab/>
        <w:t>ציינו המבקשים כי קיימות ראיות לכאורה (שפירטו בבקשה, ולאחר מכן בכתב התביעה) להוכחת עסקת המתנה, ומאזן הנוחות נוטה בבירור לטובת עניינם. זאת כיוון שהעבודות שמבצעים המבקשים הינם ללא היתר כדין, ובכל מקרה עלולים להותיר המבקשים בפני "שוקת שבורה" ומצב עובדתי קיים במקרקעין, ככל שיזכו בדינם.</w:t>
      </w:r>
    </w:p>
    <w:p w:rsidR="00943DD7" w:rsidRDefault="00943DD7" w:rsidP="00014FF4">
      <w:pPr>
        <w:spacing w:after="120" w:line="360" w:lineRule="auto"/>
        <w:ind w:left="720" w:hanging="720"/>
        <w:jc w:val="both"/>
        <w:rPr>
          <w:rFonts w:ascii="David" w:hAnsi="David"/>
          <w:rtl/>
        </w:rPr>
      </w:pPr>
      <w:r>
        <w:rPr>
          <w:rFonts w:ascii="David" w:hAnsi="David"/>
          <w:rtl/>
        </w:rPr>
        <w:t>10.</w:t>
      </w:r>
      <w:r>
        <w:rPr>
          <w:rFonts w:ascii="David" w:hAnsi="David"/>
          <w:rtl/>
        </w:rPr>
        <w:tab/>
        <w:t>בית משפט קמא קמא בהחלטותיו מתאריכים 20/6/23 ו- 4/7/23, דחה את בקשה לצו מניעה זמני במעמד צד אחד.</w:t>
      </w:r>
    </w:p>
    <w:p w:rsidR="00943DD7" w:rsidRDefault="00943DD7" w:rsidP="00014FF4">
      <w:pPr>
        <w:spacing w:after="120" w:line="360" w:lineRule="auto"/>
        <w:ind w:left="720" w:hanging="720"/>
        <w:jc w:val="both"/>
        <w:rPr>
          <w:rFonts w:ascii="David" w:hAnsi="David"/>
          <w:rtl/>
        </w:rPr>
      </w:pPr>
      <w:r>
        <w:rPr>
          <w:rFonts w:ascii="David" w:hAnsi="David"/>
          <w:rtl/>
        </w:rPr>
        <w:tab/>
        <w:t xml:space="preserve">רמ"ש שהוגש על ההחלטות האמורות (רמ"ש 18795-07023 – להלן: </w:t>
      </w:r>
      <w:r>
        <w:rPr>
          <w:rFonts w:ascii="David" w:hAnsi="David"/>
          <w:b/>
          <w:bCs/>
          <w:rtl/>
        </w:rPr>
        <w:t>"הרמ"ש הקודם"</w:t>
      </w:r>
      <w:r>
        <w:rPr>
          <w:rFonts w:ascii="David" w:hAnsi="David"/>
          <w:rtl/>
        </w:rPr>
        <w:t xml:space="preserve">) התקבל (החלטה מיום 10.7.2023 במעמד צד אחד), בעיקר עקב העובדה כי לא התקיים דיון בבקשה בבית משפט קמא במעמד הצדדים. ניתן צו מניעה ארעי עד לקיום דיון בבקשה, תוך הדגשה כי לאחר קיום במעמד הצדדים, יחליט בית משפט קמא, על פי שיקול דעתו, האם להותיר את הצו הארעי כצו זמני עד למתן פסק דין בתובענה קמא, או לבטלו. </w:t>
      </w:r>
    </w:p>
    <w:p w:rsidR="00943DD7" w:rsidRDefault="00943DD7" w:rsidP="00014FF4">
      <w:pPr>
        <w:spacing w:after="120" w:line="360" w:lineRule="auto"/>
        <w:ind w:left="720" w:hanging="720"/>
        <w:jc w:val="both"/>
        <w:rPr>
          <w:rFonts w:ascii="David" w:hAnsi="David"/>
          <w:rtl/>
        </w:rPr>
      </w:pPr>
      <w:r>
        <w:rPr>
          <w:rFonts w:ascii="David" w:hAnsi="David"/>
          <w:rtl/>
        </w:rPr>
        <w:t>11.</w:t>
      </w:r>
      <w:r>
        <w:rPr>
          <w:rFonts w:ascii="David" w:hAnsi="David"/>
          <w:rtl/>
        </w:rPr>
        <w:tab/>
        <w:t xml:space="preserve">בעקבות החלטה ברמ"ש הקודם הגישו המשיבים את תגובתם לבקשה לבית משפט קמא, המבקשים הגישו תגובה לתשובה והתקיים דיון במעמד הצדדים ביום 19.7.2023, שלאחריו, ולאחר השלמת מסמכים וטיעונים בכתב, ניתנה ההחלטה קמא. </w:t>
      </w:r>
    </w:p>
    <w:p w:rsidR="009612BD" w:rsidRDefault="009612BD" w:rsidP="00014FF4">
      <w:pPr>
        <w:spacing w:after="120" w:line="360" w:lineRule="auto"/>
        <w:ind w:left="720" w:hanging="720"/>
        <w:jc w:val="both"/>
        <w:rPr>
          <w:rFonts w:ascii="David" w:hAnsi="David"/>
          <w:rtl/>
        </w:rPr>
      </w:pPr>
    </w:p>
    <w:p w:rsidR="00943DD7" w:rsidRDefault="00943DD7" w:rsidP="00014FF4">
      <w:pPr>
        <w:spacing w:after="120" w:line="360" w:lineRule="auto"/>
        <w:ind w:left="720" w:hanging="720"/>
        <w:jc w:val="both"/>
        <w:rPr>
          <w:rFonts w:ascii="David" w:hAnsi="David"/>
          <w:b/>
          <w:bCs/>
          <w:u w:val="single"/>
          <w:rtl/>
        </w:rPr>
      </w:pPr>
      <w:r>
        <w:rPr>
          <w:rFonts w:ascii="David" w:hAnsi="David"/>
          <w:b/>
          <w:bCs/>
          <w:u w:val="single"/>
          <w:rtl/>
        </w:rPr>
        <w:t>ההחלטה קמא</w:t>
      </w:r>
    </w:p>
    <w:p w:rsidR="00943DD7" w:rsidRDefault="00943DD7" w:rsidP="00014FF4">
      <w:pPr>
        <w:spacing w:after="120" w:line="360" w:lineRule="auto"/>
        <w:ind w:left="720" w:hanging="720"/>
        <w:jc w:val="both"/>
        <w:rPr>
          <w:rFonts w:ascii="David" w:hAnsi="David"/>
          <w:rtl/>
        </w:rPr>
      </w:pPr>
      <w:r>
        <w:rPr>
          <w:rFonts w:ascii="David" w:hAnsi="David"/>
          <w:rtl/>
        </w:rPr>
        <w:t>12.</w:t>
      </w:r>
      <w:r>
        <w:rPr>
          <w:rFonts w:ascii="David" w:hAnsi="David"/>
          <w:rtl/>
        </w:rPr>
        <w:tab/>
        <w:t>כאמור במסגרת ההחלטה קמא דחתה השופטת קמא את הבקשה, תוך ביטול הצו הארעי שניתן במסגרת הרמ"ש הקודם וחייב המבקשים בהוצאות הבקשה בסך של 10,000 ₪.</w:t>
      </w:r>
    </w:p>
    <w:p w:rsidR="00943DD7" w:rsidRDefault="00943DD7" w:rsidP="00014FF4">
      <w:pPr>
        <w:spacing w:after="120" w:line="360" w:lineRule="auto"/>
        <w:ind w:left="720" w:hanging="720"/>
        <w:jc w:val="both"/>
        <w:rPr>
          <w:rFonts w:ascii="David" w:hAnsi="David"/>
        </w:rPr>
      </w:pPr>
      <w:r>
        <w:rPr>
          <w:rFonts w:ascii="David" w:hAnsi="David"/>
          <w:rtl/>
        </w:rPr>
        <w:t>13.</w:t>
      </w:r>
      <w:r>
        <w:rPr>
          <w:rFonts w:ascii="David" w:hAnsi="David"/>
          <w:rtl/>
        </w:rPr>
        <w:tab/>
        <w:t xml:space="preserve"> </w:t>
      </w:r>
      <w:r>
        <w:rPr>
          <w:rFonts w:ascii="David" w:hAnsi="David"/>
          <w:u w:val="single"/>
          <w:rtl/>
        </w:rPr>
        <w:t>נימוקי השופטת קמא הן כדלקמן</w:t>
      </w:r>
      <w:r>
        <w:rPr>
          <w:rFonts w:ascii="David" w:hAnsi="David"/>
          <w:rtl/>
        </w:rPr>
        <w:t>:</w:t>
      </w:r>
    </w:p>
    <w:p w:rsidR="00943DD7" w:rsidRDefault="00943DD7" w:rsidP="00014FF4">
      <w:pPr>
        <w:spacing w:after="120" w:line="360" w:lineRule="auto"/>
        <w:ind w:left="1440" w:hanging="720"/>
        <w:jc w:val="both"/>
        <w:rPr>
          <w:rFonts w:ascii="David" w:hAnsi="David"/>
          <w:rtl/>
        </w:rPr>
      </w:pPr>
      <w:r>
        <w:rPr>
          <w:rFonts w:ascii="David" w:hAnsi="David"/>
          <w:rtl/>
        </w:rPr>
        <w:t>א.</w:t>
      </w:r>
      <w:r>
        <w:rPr>
          <w:rFonts w:ascii="David" w:hAnsi="David"/>
          <w:rtl/>
        </w:rPr>
        <w:tab/>
        <w:t xml:space="preserve">סוגיית תוקף עסקת המתנה כבר נדון והוכרע בבית המשפט המחוזי בחיפה בפסק דין שניתן ביום 14.2.12 בת"א </w:t>
      </w:r>
      <w:r w:rsidR="00A04007">
        <w:rPr>
          <w:rFonts w:ascii="David" w:hAnsi="David" w:hint="cs"/>
          <w:rtl/>
        </w:rPr>
        <w:t>000</w:t>
      </w:r>
      <w:r>
        <w:rPr>
          <w:rFonts w:ascii="David" w:hAnsi="David"/>
          <w:rtl/>
        </w:rPr>
        <w:t>/06 (להלן:</w:t>
      </w:r>
      <w:r>
        <w:rPr>
          <w:rFonts w:ascii="David" w:hAnsi="David"/>
        </w:rPr>
        <w:t xml:space="preserve"> </w:t>
      </w:r>
      <w:r>
        <w:rPr>
          <w:rFonts w:ascii="David" w:hAnsi="David"/>
          <w:b/>
          <w:bCs/>
          <w:rtl/>
        </w:rPr>
        <w:t>"ההליך במחוזי"</w:t>
      </w:r>
      <w:r>
        <w:rPr>
          <w:rFonts w:ascii="David" w:hAnsi="David"/>
          <w:rtl/>
        </w:rPr>
        <w:t>).</w:t>
      </w:r>
    </w:p>
    <w:p w:rsidR="00943DD7" w:rsidRDefault="00943DD7" w:rsidP="00014FF4">
      <w:pPr>
        <w:spacing w:after="120" w:line="360" w:lineRule="auto"/>
        <w:ind w:left="1440"/>
        <w:jc w:val="both"/>
        <w:rPr>
          <w:rFonts w:ascii="David" w:hAnsi="David"/>
          <w:rtl/>
        </w:rPr>
      </w:pPr>
      <w:r>
        <w:rPr>
          <w:rFonts w:ascii="David" w:hAnsi="David"/>
          <w:rtl/>
        </w:rPr>
        <w:t xml:space="preserve">בהליך במחוזי היו </w:t>
      </w:r>
      <w:r w:rsidR="00A04007">
        <w:rPr>
          <w:rFonts w:ascii="David" w:hAnsi="David" w:hint="cs"/>
          <w:rtl/>
        </w:rPr>
        <w:t>מ'</w:t>
      </w:r>
      <w:r>
        <w:rPr>
          <w:rFonts w:ascii="David" w:hAnsi="David"/>
          <w:rtl/>
        </w:rPr>
        <w:t xml:space="preserve"> והמנוח נתבעים, ונקבע שם כי החלקים המסויימים במקרקעין אותם ביקש </w:t>
      </w:r>
      <w:r w:rsidR="00A04007">
        <w:rPr>
          <w:rFonts w:ascii="David" w:hAnsi="David" w:hint="cs"/>
          <w:rtl/>
        </w:rPr>
        <w:t>מ'</w:t>
      </w:r>
      <w:r>
        <w:rPr>
          <w:rFonts w:ascii="David" w:hAnsi="David"/>
          <w:rtl/>
        </w:rPr>
        <w:t xml:space="preserve"> להעביר למנוח בהסכם המתנה האמור, הם בבעלותה של חברת ע.ב. בע"מ (התובעת שם). </w:t>
      </w:r>
    </w:p>
    <w:p w:rsidR="00943DD7" w:rsidRDefault="00943DD7" w:rsidP="00014FF4">
      <w:pPr>
        <w:spacing w:after="120" w:line="360" w:lineRule="auto"/>
        <w:ind w:left="1440"/>
        <w:jc w:val="both"/>
        <w:rPr>
          <w:rFonts w:ascii="David" w:hAnsi="David"/>
        </w:rPr>
      </w:pPr>
      <w:r>
        <w:rPr>
          <w:rFonts w:ascii="David" w:hAnsi="David"/>
          <w:rtl/>
        </w:rPr>
        <w:t xml:space="preserve">טענת המבקשים כי פסק הדין בהליך במחוזי לא דן בהסכם המתנה אינה מדוייקת. המנוח הושאר כצד לאותו הליך (לאחר שבית המשפט המחוזי מחק נתבעים שאינם </w:t>
      </w:r>
      <w:r>
        <w:rPr>
          <w:rFonts w:ascii="David" w:hAnsi="David"/>
          <w:rtl/>
        </w:rPr>
        <w:lastRenderedPageBreak/>
        <w:t>קשורים ישירות לסכסוך שנדון בפניו), ואף הורה בפסק דינו על מחיקתה של הערת אזהרה שנרשמה לטובת המנוח בגין אותה עסקת המתנה.</w:t>
      </w:r>
    </w:p>
    <w:p w:rsidR="00943DD7" w:rsidRDefault="00943DD7" w:rsidP="00014FF4">
      <w:pPr>
        <w:spacing w:after="120" w:line="360" w:lineRule="auto"/>
        <w:ind w:left="1440"/>
        <w:jc w:val="both"/>
        <w:rPr>
          <w:rFonts w:ascii="David" w:hAnsi="David"/>
          <w:rtl/>
        </w:rPr>
      </w:pPr>
      <w:r>
        <w:rPr>
          <w:rFonts w:ascii="David" w:hAnsi="David"/>
          <w:rtl/>
        </w:rPr>
        <w:t xml:space="preserve">במצב דברים זה, גם לא ברור כיצד יכול היה </w:t>
      </w:r>
      <w:r w:rsidR="00A04007">
        <w:rPr>
          <w:rFonts w:ascii="David" w:hAnsi="David" w:hint="cs"/>
          <w:rtl/>
        </w:rPr>
        <w:t>מ'</w:t>
      </w:r>
      <w:r>
        <w:rPr>
          <w:rFonts w:ascii="David" w:hAnsi="David"/>
          <w:rtl/>
        </w:rPr>
        <w:t xml:space="preserve"> לתת במתנה את שטח המתנה כאשר הוא כלל אינו בעל זכויות בשטח זה. הרי בית המשפט המחוזי קבע באותו הליך כי הזכויות המועברות הן של חברת ע</w:t>
      </w:r>
      <w:r w:rsidR="00A04007">
        <w:rPr>
          <w:rFonts w:ascii="David" w:hAnsi="David"/>
          <w:rtl/>
        </w:rPr>
        <w:t>.ב.</w:t>
      </w:r>
      <w:r>
        <w:rPr>
          <w:rFonts w:ascii="David" w:hAnsi="David"/>
          <w:rtl/>
        </w:rPr>
        <w:t xml:space="preserve"> בע"מ, ולא של </w:t>
      </w:r>
      <w:r w:rsidR="00A04007">
        <w:rPr>
          <w:rFonts w:ascii="David" w:hAnsi="David" w:hint="cs"/>
          <w:rtl/>
        </w:rPr>
        <w:t>מ'</w:t>
      </w:r>
      <w:r>
        <w:rPr>
          <w:rFonts w:ascii="David" w:hAnsi="David"/>
          <w:rtl/>
        </w:rPr>
        <w:t>. לכן האחרון כלל לא יכול היה לה</w:t>
      </w:r>
      <w:r w:rsidR="00A04007">
        <w:rPr>
          <w:rFonts w:ascii="David" w:hAnsi="David"/>
          <w:rtl/>
        </w:rPr>
        <w:t xml:space="preserve">עביר את שטח המתנה למנוח במתנה, </w:t>
      </w:r>
      <w:r>
        <w:rPr>
          <w:rFonts w:ascii="David" w:hAnsi="David"/>
          <w:rtl/>
        </w:rPr>
        <w:t>והסכם המתנה לכאורה בטל מעיקרו.</w:t>
      </w:r>
    </w:p>
    <w:p w:rsidR="00943DD7" w:rsidRDefault="00943DD7" w:rsidP="00014FF4">
      <w:pPr>
        <w:spacing w:after="120" w:line="360" w:lineRule="auto"/>
        <w:ind w:left="1440" w:hanging="720"/>
        <w:jc w:val="both"/>
        <w:rPr>
          <w:rFonts w:ascii="David" w:hAnsi="David"/>
          <w:rtl/>
        </w:rPr>
      </w:pPr>
      <w:r>
        <w:rPr>
          <w:rFonts w:ascii="David" w:hAnsi="David"/>
          <w:rtl/>
        </w:rPr>
        <w:t>ב.</w:t>
      </w:r>
      <w:r>
        <w:rPr>
          <w:rFonts w:ascii="David" w:hAnsi="David"/>
          <w:rtl/>
        </w:rPr>
        <w:tab/>
        <w:t xml:space="preserve">במסגרת הדיון שהתקיים בבקשה הגישו המשיבים תשריט של המקרקעין/חלקה </w:t>
      </w:r>
      <w:r w:rsidR="00A04007">
        <w:rPr>
          <w:rFonts w:ascii="David" w:hAnsi="David" w:hint="cs"/>
          <w:rtl/>
        </w:rPr>
        <w:t>00</w:t>
      </w:r>
      <w:r>
        <w:rPr>
          <w:rFonts w:ascii="David" w:hAnsi="David"/>
          <w:rtl/>
        </w:rPr>
        <w:t xml:space="preserve"> (מש/1). מתשריט זה ניתן לראות וללמוד,  כי המקרקעין חולקו למגרשים כאשר בכל מגרש מחזיק אחד מבעלי הזכויות הרשומים. </w:t>
      </w:r>
    </w:p>
    <w:p w:rsidR="00943DD7" w:rsidRDefault="00943DD7" w:rsidP="00014FF4">
      <w:pPr>
        <w:spacing w:after="120" w:line="360" w:lineRule="auto"/>
        <w:ind w:left="1440"/>
        <w:jc w:val="both"/>
        <w:rPr>
          <w:rFonts w:ascii="David" w:hAnsi="David"/>
          <w:rtl/>
        </w:rPr>
      </w:pPr>
      <w:r>
        <w:rPr>
          <w:rFonts w:ascii="David" w:hAnsi="David"/>
          <w:rtl/>
        </w:rPr>
        <w:t xml:space="preserve">המשיבים הבהירו כי </w:t>
      </w:r>
      <w:r w:rsidR="00A04007">
        <w:rPr>
          <w:rFonts w:ascii="David" w:hAnsi="David" w:hint="cs"/>
          <w:rtl/>
        </w:rPr>
        <w:t>ג'</w:t>
      </w:r>
      <w:r w:rsidR="00A04007">
        <w:rPr>
          <w:rFonts w:ascii="David" w:hAnsi="David"/>
          <w:rtl/>
        </w:rPr>
        <w:t xml:space="preserve"> (</w:t>
      </w:r>
      <w:r>
        <w:rPr>
          <w:rFonts w:ascii="David" w:hAnsi="David"/>
          <w:rtl/>
        </w:rPr>
        <w:t xml:space="preserve">משיב 2) מבצע עבודות במגרש המשויך אליו, מגרש </w:t>
      </w:r>
      <w:r w:rsidR="00A04007">
        <w:rPr>
          <w:rFonts w:ascii="David" w:hAnsi="David" w:hint="cs"/>
          <w:rtl/>
        </w:rPr>
        <w:t>00</w:t>
      </w:r>
      <w:r>
        <w:rPr>
          <w:rFonts w:ascii="David" w:hAnsi="David"/>
          <w:rtl/>
        </w:rPr>
        <w:t xml:space="preserve">/3, ובו בלבד, בעוד שהמגרש אשר ביחס אליו יוחס הסכם המתנה הינו מגרש </w:t>
      </w:r>
      <w:r w:rsidR="00A04007">
        <w:rPr>
          <w:rFonts w:ascii="David" w:hAnsi="David" w:hint="cs"/>
          <w:rtl/>
        </w:rPr>
        <w:t>00</w:t>
      </w:r>
      <w:r>
        <w:rPr>
          <w:rFonts w:ascii="David" w:hAnsi="David"/>
          <w:rtl/>
        </w:rPr>
        <w:t>/5 הסמוך.</w:t>
      </w:r>
    </w:p>
    <w:p w:rsidR="00943DD7" w:rsidRDefault="00943DD7" w:rsidP="00014FF4">
      <w:pPr>
        <w:spacing w:after="120" w:line="360" w:lineRule="auto"/>
        <w:ind w:left="1440"/>
        <w:jc w:val="both"/>
        <w:rPr>
          <w:rFonts w:ascii="David" w:hAnsi="David"/>
          <w:rtl/>
        </w:rPr>
      </w:pPr>
      <w:r>
        <w:rPr>
          <w:rFonts w:ascii="David" w:hAnsi="David"/>
          <w:rtl/>
        </w:rPr>
        <w:t xml:space="preserve">במסגרת הדיון שהתקיים בבקשה הסתבר, כי אין מחלוקת בין הצדדים בדבר חלוקה בפועל של המקרקעין עצמם, וב"כ המבקשים הצהיר כי מגרש </w:t>
      </w:r>
      <w:r w:rsidR="00A04007">
        <w:rPr>
          <w:rFonts w:ascii="David" w:hAnsi="David" w:hint="cs"/>
          <w:rtl/>
        </w:rPr>
        <w:t>00</w:t>
      </w:r>
      <w:r>
        <w:rPr>
          <w:rFonts w:ascii="David" w:hAnsi="David"/>
          <w:rtl/>
        </w:rPr>
        <w:t>/3 אמנם הינו בשימושם של המשיבים (בעמ' 2 ש' 21).</w:t>
      </w:r>
    </w:p>
    <w:p w:rsidR="00943DD7" w:rsidRDefault="00943DD7" w:rsidP="00014FF4">
      <w:pPr>
        <w:spacing w:after="120" w:line="360" w:lineRule="auto"/>
        <w:ind w:left="1440"/>
        <w:jc w:val="both"/>
        <w:rPr>
          <w:rFonts w:ascii="David" w:hAnsi="David"/>
          <w:rtl/>
        </w:rPr>
      </w:pPr>
      <w:r>
        <w:rPr>
          <w:rFonts w:ascii="David" w:hAnsi="David"/>
          <w:rtl/>
        </w:rPr>
        <w:t>בסיום הדיון בבקשה התיר בית המשפט קמא לצדדים להשלים ראיותיהם, כאשר המשיבים צירפו חוות דעת מודד ביחס למיקום העבודות</w:t>
      </w:r>
      <w:r w:rsidR="00A04007">
        <w:rPr>
          <w:rFonts w:ascii="David" w:hAnsi="David" w:hint="cs"/>
          <w:rtl/>
        </w:rPr>
        <w:t xml:space="preserve"> </w:t>
      </w:r>
      <w:r w:rsidR="00A04007">
        <w:rPr>
          <w:rFonts w:ascii="David" w:hAnsi="David"/>
          <w:rtl/>
        </w:rPr>
        <w:t>–</w:t>
      </w:r>
      <w:r w:rsidR="00A04007">
        <w:rPr>
          <w:rFonts w:ascii="David" w:hAnsi="David" w:hint="cs"/>
          <w:rtl/>
        </w:rPr>
        <w:t xml:space="preserve"> </w:t>
      </w:r>
      <w:r>
        <w:rPr>
          <w:rFonts w:ascii="David" w:hAnsi="David"/>
          <w:rtl/>
        </w:rPr>
        <w:t xml:space="preserve">בתוך מגרש </w:t>
      </w:r>
      <w:r w:rsidR="00A04007">
        <w:rPr>
          <w:rFonts w:ascii="David" w:hAnsi="David" w:hint="cs"/>
          <w:rtl/>
        </w:rPr>
        <w:t>00</w:t>
      </w:r>
      <w:r>
        <w:rPr>
          <w:rFonts w:ascii="David" w:hAnsi="David"/>
          <w:rtl/>
        </w:rPr>
        <w:t>/3, והמבקשים נמנעו מלהוכיח אחרת, תוך שהם שבים על טענותיהם.</w:t>
      </w:r>
    </w:p>
    <w:p w:rsidR="00943DD7" w:rsidRDefault="00943DD7" w:rsidP="00014FF4">
      <w:pPr>
        <w:spacing w:after="120" w:line="360" w:lineRule="auto"/>
        <w:ind w:left="1440"/>
        <w:jc w:val="both"/>
        <w:rPr>
          <w:rFonts w:ascii="David" w:hAnsi="David"/>
          <w:rtl/>
        </w:rPr>
      </w:pPr>
      <w:r>
        <w:rPr>
          <w:rFonts w:ascii="David" w:hAnsi="David"/>
          <w:rtl/>
        </w:rPr>
        <w:t xml:space="preserve">הדגיש בנדון בית משפט קמא, כי המבקשים מנסים למנוע את המשך בנייה במגרש שמשויך </w:t>
      </w:r>
      <w:r w:rsidR="00A04007">
        <w:rPr>
          <w:rFonts w:ascii="David" w:hAnsi="David" w:hint="cs"/>
          <w:rtl/>
        </w:rPr>
        <w:t>ל-ג'</w:t>
      </w:r>
      <w:r>
        <w:rPr>
          <w:rFonts w:ascii="David" w:hAnsi="David"/>
          <w:rtl/>
        </w:rPr>
        <w:t xml:space="preserve"> תוך שימוש בהסכם מתנה משנת 2002 אשר לכאורה כבר נדון והוכרע בבית המשפט המחוזי לפני יותר מעשור.</w:t>
      </w:r>
    </w:p>
    <w:p w:rsidR="00943DD7" w:rsidRDefault="00943DD7" w:rsidP="00014FF4">
      <w:pPr>
        <w:spacing w:after="120" w:line="360" w:lineRule="auto"/>
        <w:ind w:left="1440" w:hanging="720"/>
        <w:jc w:val="both"/>
        <w:rPr>
          <w:rFonts w:ascii="David" w:hAnsi="David"/>
          <w:rtl/>
        </w:rPr>
      </w:pPr>
      <w:r>
        <w:rPr>
          <w:rFonts w:ascii="David" w:hAnsi="David"/>
          <w:rtl/>
        </w:rPr>
        <w:t>ג.</w:t>
      </w:r>
      <w:r>
        <w:rPr>
          <w:rFonts w:ascii="David" w:hAnsi="David"/>
          <w:rtl/>
        </w:rPr>
        <w:tab/>
        <w:t>המבקשים טענו לאורך הדרך, כי הבעלות במקרקעין היא במושע, כלומר שאין חלוקה למגרשים והבעלות בחלקה היא ביחד ולחוד לכל בעליה. לכן גם (כך לטענת המבקשים) הסכם המתנה איננו ביחס למיקום ספציפי בחלקה והוא משתרע על כל חלקיה.</w:t>
      </w:r>
    </w:p>
    <w:p w:rsidR="00943DD7" w:rsidRDefault="00943DD7" w:rsidP="00014FF4">
      <w:pPr>
        <w:spacing w:after="120" w:line="360" w:lineRule="auto"/>
        <w:ind w:left="1440"/>
        <w:jc w:val="both"/>
        <w:rPr>
          <w:rFonts w:ascii="David" w:hAnsi="David"/>
          <w:rtl/>
        </w:rPr>
      </w:pPr>
      <w:r>
        <w:rPr>
          <w:rFonts w:ascii="David" w:hAnsi="David"/>
          <w:rtl/>
        </w:rPr>
        <w:t xml:space="preserve">ברם טענה זאת אינה עולה בקנה אחד עם טענת המשיבים, בה הודו המבקשים (עמ' 2 ש' 19-22) בדבר חלוקה בפועל של המקרקעין שעשו בעלי הזכויות במקרקעין, במגרשים שכל אחד מהבעלים קיבל. התאם לחלוקה האמורה, שטח המתנה "נופל" במגרש </w:t>
      </w:r>
      <w:r w:rsidR="00A04007">
        <w:rPr>
          <w:rFonts w:ascii="David" w:hAnsi="David" w:hint="cs"/>
          <w:rtl/>
        </w:rPr>
        <w:t>00</w:t>
      </w:r>
      <w:r>
        <w:rPr>
          <w:rFonts w:ascii="David" w:hAnsi="David"/>
          <w:rtl/>
        </w:rPr>
        <w:t xml:space="preserve">/5, ולא על מקום בניית המשיבים, נשוא הבקשה (מגרש </w:t>
      </w:r>
      <w:r w:rsidR="00A04007">
        <w:rPr>
          <w:rFonts w:ascii="David" w:hAnsi="David" w:hint="cs"/>
          <w:rtl/>
        </w:rPr>
        <w:t>00</w:t>
      </w:r>
      <w:r>
        <w:rPr>
          <w:rFonts w:ascii="David" w:hAnsi="David"/>
          <w:rtl/>
        </w:rPr>
        <w:t>/3).</w:t>
      </w:r>
    </w:p>
    <w:p w:rsidR="00943DD7" w:rsidRDefault="00943DD7" w:rsidP="00014FF4">
      <w:pPr>
        <w:spacing w:after="120" w:line="360" w:lineRule="auto"/>
        <w:ind w:left="1440"/>
        <w:jc w:val="both"/>
        <w:rPr>
          <w:rFonts w:ascii="David" w:hAnsi="David"/>
          <w:rtl/>
        </w:rPr>
      </w:pPr>
      <w:r>
        <w:rPr>
          <w:rFonts w:ascii="David" w:hAnsi="David"/>
          <w:rtl/>
        </w:rPr>
        <w:lastRenderedPageBreak/>
        <w:t xml:space="preserve">מעבר לכך – טענת המבקשים כי המתנה חלה בחלק בלתי מסוים בחלקה משמעותה גם, כי אין הכרח שאותו חלק בלתי מסוים יהא דווקא במגרש </w:t>
      </w:r>
      <w:r w:rsidR="00A04007">
        <w:rPr>
          <w:rFonts w:ascii="David" w:hAnsi="David" w:hint="cs"/>
          <w:rtl/>
        </w:rPr>
        <w:t>00</w:t>
      </w:r>
      <w:r>
        <w:rPr>
          <w:rFonts w:ascii="David" w:hAnsi="David"/>
          <w:rtl/>
        </w:rPr>
        <w:t xml:space="preserve">/3 בו מבוצעות העבודות בידי </w:t>
      </w:r>
      <w:r w:rsidR="00A04007">
        <w:rPr>
          <w:rFonts w:ascii="David" w:hAnsi="David" w:hint="cs"/>
          <w:rtl/>
        </w:rPr>
        <w:t>ג',</w:t>
      </w:r>
      <w:r>
        <w:rPr>
          <w:rFonts w:ascii="David" w:hAnsi="David"/>
          <w:rtl/>
        </w:rPr>
        <w:t xml:space="preserve"> עבודות שעוכבו בעטיה של הבקשה.</w:t>
      </w:r>
    </w:p>
    <w:p w:rsidR="00943DD7" w:rsidRDefault="00943DD7" w:rsidP="00014FF4">
      <w:pPr>
        <w:spacing w:after="120" w:line="360" w:lineRule="auto"/>
        <w:ind w:left="1440"/>
        <w:jc w:val="both"/>
        <w:rPr>
          <w:rFonts w:ascii="David" w:hAnsi="David"/>
          <w:rtl/>
        </w:rPr>
      </w:pPr>
      <w:r>
        <w:rPr>
          <w:rFonts w:ascii="David" w:hAnsi="David"/>
          <w:u w:val="single"/>
          <w:rtl/>
        </w:rPr>
        <w:t>בנדון ציין בית משפט קמא כי</w:t>
      </w:r>
      <w:r>
        <w:rPr>
          <w:rFonts w:ascii="David" w:hAnsi="David"/>
          <w:rtl/>
        </w:rPr>
        <w:t xml:space="preserve">: </w:t>
      </w:r>
    </w:p>
    <w:p w:rsidR="00943DD7" w:rsidRDefault="00943DD7" w:rsidP="00014FF4">
      <w:pPr>
        <w:spacing w:after="120" w:line="360" w:lineRule="auto"/>
        <w:ind w:left="2160" w:right="709"/>
        <w:jc w:val="both"/>
        <w:rPr>
          <w:rFonts w:ascii="David" w:hAnsi="David"/>
          <w:rtl/>
        </w:rPr>
      </w:pPr>
      <w:r>
        <w:rPr>
          <w:rFonts w:ascii="David" w:hAnsi="David"/>
          <w:b/>
          <w:bCs/>
          <w:rtl/>
        </w:rPr>
        <w:t xml:space="preserve">"המבקשים מנסים לאחוז במקל בשתי קצותיו: מצד אחד, בחלקה ישנם מגרשים עליהם הם בנו את בתיהם שלהם על יסודה של חלוקה בפועל מוסכמת בין כל הבעלים אף מאשרים כי ישנם מגרשים שהינם בחזקת המשיבים (מגרש </w:t>
      </w:r>
      <w:r w:rsidR="00A04007">
        <w:rPr>
          <w:rFonts w:ascii="David" w:hAnsi="David" w:hint="cs"/>
          <w:b/>
          <w:bCs/>
          <w:rtl/>
        </w:rPr>
        <w:t>00</w:t>
      </w:r>
      <w:r>
        <w:rPr>
          <w:rFonts w:ascii="David" w:hAnsi="David"/>
          <w:b/>
          <w:bCs/>
          <w:rtl/>
        </w:rPr>
        <w:t xml:space="preserve">/3 ומגרש </w:t>
      </w:r>
      <w:r w:rsidR="00A04007">
        <w:rPr>
          <w:rFonts w:ascii="David" w:hAnsi="David" w:hint="cs"/>
          <w:b/>
          <w:bCs/>
          <w:rtl/>
        </w:rPr>
        <w:t>00</w:t>
      </w:r>
      <w:r>
        <w:rPr>
          <w:rFonts w:ascii="David" w:hAnsi="David"/>
          <w:b/>
          <w:bCs/>
          <w:rtl/>
        </w:rPr>
        <w:t>/8), מצד שני, הם מנסים למנוע מהמשיב 2 לבנות בית במגרש שהם עצמם מודים כי הוא בשימושו הייחודי"</w:t>
      </w:r>
      <w:r>
        <w:rPr>
          <w:rFonts w:ascii="David" w:hAnsi="David"/>
          <w:rtl/>
        </w:rPr>
        <w:t xml:space="preserve"> (ציטוט מסעיף 6 להחלטה קמא). </w:t>
      </w:r>
    </w:p>
    <w:p w:rsidR="00943DD7" w:rsidRDefault="00943DD7" w:rsidP="00014FF4">
      <w:pPr>
        <w:spacing w:after="120" w:line="360" w:lineRule="auto"/>
        <w:ind w:right="709"/>
        <w:jc w:val="both"/>
        <w:rPr>
          <w:rFonts w:ascii="David" w:hAnsi="David"/>
          <w:rtl/>
        </w:rPr>
      </w:pPr>
      <w:r>
        <w:rPr>
          <w:rFonts w:ascii="David" w:hAnsi="David"/>
          <w:b/>
          <w:bCs/>
          <w:rtl/>
        </w:rPr>
        <w:tab/>
      </w:r>
      <w:r>
        <w:rPr>
          <w:rFonts w:ascii="David" w:hAnsi="David"/>
          <w:rtl/>
        </w:rPr>
        <w:t>ד.</w:t>
      </w:r>
      <w:r>
        <w:rPr>
          <w:rFonts w:ascii="David" w:hAnsi="David"/>
          <w:rtl/>
        </w:rPr>
        <w:tab/>
        <w:t>מעבר לכך הבקשה לוקה בשיהוי ואף מטעם זה יש לדחותה.</w:t>
      </w:r>
    </w:p>
    <w:p w:rsidR="00943DD7" w:rsidRDefault="00943DD7" w:rsidP="00014FF4">
      <w:pPr>
        <w:spacing w:after="120" w:line="360" w:lineRule="auto"/>
        <w:ind w:left="1440"/>
        <w:jc w:val="both"/>
        <w:rPr>
          <w:rFonts w:ascii="David" w:hAnsi="David"/>
          <w:rtl/>
        </w:rPr>
      </w:pPr>
      <w:r>
        <w:rPr>
          <w:rFonts w:ascii="David" w:hAnsi="David"/>
          <w:rtl/>
        </w:rPr>
        <w:t xml:space="preserve">מתגובת המשיבים עלה, כי המבקשים ידעו מבעוד מועד על תכניתו של </w:t>
      </w:r>
      <w:r w:rsidR="00A04007">
        <w:rPr>
          <w:rFonts w:ascii="David" w:hAnsi="David" w:hint="cs"/>
          <w:rtl/>
        </w:rPr>
        <w:t>ג'</w:t>
      </w:r>
      <w:r>
        <w:rPr>
          <w:rFonts w:ascii="David" w:hAnsi="David"/>
          <w:rtl/>
        </w:rPr>
        <w:t xml:space="preserve"> לבצע בנייה במגרש; הם הגישו התנגדות למתן ההיתר והעלו במסגרתה טענות שונות, לרבות טענות בדבר זכויות קניין שיש להם. התנגדותם נדונה בוועדה בנוכחותם וניתנה להם, ביום 2.4.23, ארכה בת 15 ימים לצורך פנייה לבית המשפט כדי שטענותיהם הקנייניות תידונה. </w:t>
      </w:r>
    </w:p>
    <w:p w:rsidR="00943DD7" w:rsidRDefault="00943DD7" w:rsidP="00014FF4">
      <w:pPr>
        <w:spacing w:after="120" w:line="360" w:lineRule="auto"/>
        <w:ind w:left="1440"/>
        <w:jc w:val="both"/>
        <w:rPr>
          <w:rFonts w:ascii="David" w:hAnsi="David"/>
          <w:rtl/>
        </w:rPr>
      </w:pPr>
      <w:r>
        <w:rPr>
          <w:rFonts w:ascii="David" w:hAnsi="David"/>
          <w:rtl/>
        </w:rPr>
        <w:t xml:space="preserve">חרף האמור, המבקשים לא עשו דבר משך כשלושה חודשים ורק לאחר </w:t>
      </w:r>
      <w:r w:rsidR="00A04007">
        <w:rPr>
          <w:rFonts w:ascii="David" w:hAnsi="David" w:hint="cs"/>
          <w:rtl/>
        </w:rPr>
        <w:t>ש-ג'</w:t>
      </w:r>
      <w:r>
        <w:rPr>
          <w:rFonts w:ascii="David" w:hAnsi="David"/>
          <w:rtl/>
        </w:rPr>
        <w:t xml:space="preserve"> כבר שינה מצבו לרעה, התקשר עם אנשי מקצוע והחל בעבודות – על יסוד היתר שניתן לו – הגישו את הבקשה דנן.</w:t>
      </w:r>
    </w:p>
    <w:p w:rsidR="00943DD7" w:rsidRDefault="00943DD7" w:rsidP="00014FF4">
      <w:pPr>
        <w:spacing w:after="120" w:line="360" w:lineRule="auto"/>
        <w:ind w:left="1440"/>
        <w:jc w:val="both"/>
        <w:rPr>
          <w:rFonts w:ascii="David" w:hAnsi="David"/>
          <w:rtl/>
        </w:rPr>
      </w:pPr>
      <w:r>
        <w:rPr>
          <w:rFonts w:ascii="David" w:hAnsi="David"/>
          <w:rtl/>
        </w:rPr>
        <w:t>טענותיהם של המבקשים בהשלמת הטיעון שהוגש על ידם כי היתר הבנייה ניתן שלא כדין, אינו עניין שבית משפט קמא מוסמך לדון בו. זאת מעבר להרחבת החזית שיש בעצם העלאת הטענה, אשר לא בא זכרה בכתב התביעה שהוגש.</w:t>
      </w:r>
    </w:p>
    <w:p w:rsidR="00943DD7" w:rsidRDefault="00943DD7" w:rsidP="00014FF4">
      <w:pPr>
        <w:spacing w:after="120" w:line="360" w:lineRule="auto"/>
        <w:ind w:left="1440" w:hanging="720"/>
        <w:jc w:val="both"/>
        <w:rPr>
          <w:rFonts w:ascii="David" w:hAnsi="David"/>
          <w:rtl/>
        </w:rPr>
      </w:pPr>
      <w:r>
        <w:rPr>
          <w:rFonts w:ascii="David" w:hAnsi="David"/>
          <w:rtl/>
        </w:rPr>
        <w:t>ה.</w:t>
      </w:r>
      <w:r>
        <w:rPr>
          <w:rFonts w:ascii="David" w:hAnsi="David"/>
          <w:rtl/>
        </w:rPr>
        <w:tab/>
        <w:t>לאור כל האמור לעיל ניתן לומר, כי התשתית העובדתית העומדת ביסוד הבקשה רעועה, סיכויי התביעה נמוכים, הנזק שייגרם</w:t>
      </w:r>
      <w:r w:rsidR="00A04007">
        <w:rPr>
          <w:rFonts w:ascii="David" w:hAnsi="David" w:hint="cs"/>
          <w:rtl/>
        </w:rPr>
        <w:t xml:space="preserve"> ל-ג'</w:t>
      </w:r>
      <w:r>
        <w:rPr>
          <w:rFonts w:ascii="David" w:hAnsi="David"/>
          <w:rtl/>
        </w:rPr>
        <w:t xml:space="preserve"> מצו המניעה עולה על הנזקים שייגרמו למבקשים ככל שתביעתם תתקבל, בשים לב לכך שהבנייה המבוצעת כלל אינה במגרש </w:t>
      </w:r>
      <w:r w:rsidR="00A04007">
        <w:rPr>
          <w:rFonts w:ascii="David" w:hAnsi="David" w:hint="cs"/>
          <w:rtl/>
        </w:rPr>
        <w:t>00</w:t>
      </w:r>
      <w:r>
        <w:rPr>
          <w:rFonts w:ascii="David" w:hAnsi="David"/>
          <w:rtl/>
        </w:rPr>
        <w:t xml:space="preserve">/5 נשוא הסכם המתנה הנטען, אלא במגרש </w:t>
      </w:r>
      <w:r w:rsidR="00A04007">
        <w:rPr>
          <w:rFonts w:ascii="David" w:hAnsi="David" w:hint="cs"/>
          <w:rtl/>
        </w:rPr>
        <w:t>00</w:t>
      </w:r>
      <w:r>
        <w:rPr>
          <w:rFonts w:ascii="David" w:hAnsi="David"/>
          <w:rtl/>
        </w:rPr>
        <w:t xml:space="preserve">/3 המשויך </w:t>
      </w:r>
      <w:r w:rsidR="00A04007">
        <w:rPr>
          <w:rFonts w:ascii="David" w:hAnsi="David" w:hint="cs"/>
          <w:rtl/>
        </w:rPr>
        <w:t>ל-ג'</w:t>
      </w:r>
      <w:r>
        <w:rPr>
          <w:rFonts w:ascii="David" w:hAnsi="David"/>
          <w:rtl/>
        </w:rPr>
        <w:t>, והבקשה לוקה בשיהוי רב.</w:t>
      </w:r>
    </w:p>
    <w:p w:rsidR="00943DD7" w:rsidRDefault="00943DD7" w:rsidP="00014FF4">
      <w:pPr>
        <w:spacing w:after="120" w:line="360" w:lineRule="auto"/>
        <w:jc w:val="both"/>
        <w:rPr>
          <w:rFonts w:ascii="David" w:hAnsi="David"/>
          <w:b/>
          <w:bCs/>
          <w:u w:val="single"/>
          <w:rtl/>
        </w:rPr>
      </w:pPr>
    </w:p>
    <w:p w:rsidR="00014FF4" w:rsidRDefault="00014FF4" w:rsidP="00014FF4">
      <w:pPr>
        <w:spacing w:after="120" w:line="360" w:lineRule="auto"/>
        <w:jc w:val="both"/>
        <w:rPr>
          <w:rFonts w:ascii="David" w:hAnsi="David"/>
          <w:b/>
          <w:bCs/>
          <w:u w:val="single"/>
          <w:rtl/>
        </w:rPr>
      </w:pPr>
    </w:p>
    <w:p w:rsidR="00943DD7" w:rsidRDefault="00943DD7" w:rsidP="00014FF4">
      <w:pPr>
        <w:spacing w:after="120" w:line="360" w:lineRule="auto"/>
        <w:jc w:val="both"/>
        <w:rPr>
          <w:rFonts w:ascii="David" w:hAnsi="David"/>
          <w:b/>
          <w:bCs/>
          <w:u w:val="single"/>
          <w:rtl/>
        </w:rPr>
      </w:pPr>
      <w:r>
        <w:rPr>
          <w:rFonts w:ascii="David" w:hAnsi="David"/>
          <w:b/>
          <w:bCs/>
          <w:u w:val="single"/>
          <w:rtl/>
        </w:rPr>
        <w:lastRenderedPageBreak/>
        <w:t>טענות המבקשים בבקשת רשות הערעור</w:t>
      </w:r>
    </w:p>
    <w:p w:rsidR="00943DD7" w:rsidRDefault="00943DD7" w:rsidP="00014FF4">
      <w:pPr>
        <w:spacing w:after="120" w:line="360" w:lineRule="auto"/>
        <w:ind w:left="720" w:hanging="720"/>
        <w:jc w:val="both"/>
        <w:rPr>
          <w:rFonts w:ascii="David" w:hAnsi="David"/>
          <w:rtl/>
        </w:rPr>
      </w:pPr>
      <w:r>
        <w:rPr>
          <w:rFonts w:ascii="David" w:hAnsi="David"/>
          <w:rtl/>
        </w:rPr>
        <w:t>14.</w:t>
      </w:r>
      <w:r>
        <w:rPr>
          <w:rFonts w:ascii="David" w:hAnsi="David"/>
          <w:rtl/>
        </w:rPr>
        <w:tab/>
        <w:t xml:space="preserve">בקשת רשות הערעור התפרסה על פני 18 עמודים, בניגוד לתקנה 134(א)(3) לתקנות סדר הדין האזרחי, תשע"ט-2018 (להלן: </w:t>
      </w:r>
      <w:r>
        <w:rPr>
          <w:rFonts w:ascii="David" w:hAnsi="David"/>
          <w:b/>
          <w:bCs/>
          <w:rtl/>
        </w:rPr>
        <w:t>"התקנות"</w:t>
      </w:r>
      <w:r>
        <w:rPr>
          <w:rFonts w:ascii="David" w:hAnsi="David"/>
          <w:rtl/>
        </w:rPr>
        <w:t xml:space="preserve">) הקוצבת תשעה עמודים לכל היותר. החרו החזיקו אחריהם המשיבים, הגם שמחו על כך בתגובתם, שהגיש תגובה המשתרעת על פני 17 עמודים.  יש להצטער על מצב דברים זה, תוך הפרת הוראות התקנות. </w:t>
      </w:r>
    </w:p>
    <w:p w:rsidR="00943DD7" w:rsidRDefault="00943DD7" w:rsidP="00014FF4">
      <w:pPr>
        <w:spacing w:after="120" w:line="360" w:lineRule="auto"/>
        <w:ind w:left="720" w:hanging="720"/>
        <w:jc w:val="both"/>
        <w:rPr>
          <w:rFonts w:ascii="David" w:hAnsi="David"/>
          <w:rtl/>
        </w:rPr>
      </w:pPr>
      <w:r>
        <w:rPr>
          <w:rFonts w:ascii="David" w:hAnsi="David"/>
          <w:rtl/>
        </w:rPr>
        <w:t>15.</w:t>
      </w:r>
      <w:r>
        <w:rPr>
          <w:rFonts w:ascii="David" w:hAnsi="David"/>
          <w:rtl/>
        </w:rPr>
        <w:tab/>
      </w:r>
      <w:r>
        <w:rPr>
          <w:rFonts w:ascii="David" w:hAnsi="David"/>
          <w:u w:val="single"/>
          <w:rtl/>
        </w:rPr>
        <w:t>תמצית טענות המבקשים ברמ"ש זה הן כדלקמן</w:t>
      </w:r>
      <w:r>
        <w:rPr>
          <w:rFonts w:ascii="David" w:hAnsi="David"/>
          <w:rtl/>
        </w:rPr>
        <w:t>:</w:t>
      </w:r>
    </w:p>
    <w:p w:rsidR="00943DD7" w:rsidRDefault="00943DD7" w:rsidP="00014FF4">
      <w:pPr>
        <w:spacing w:after="120" w:line="360" w:lineRule="auto"/>
        <w:ind w:left="1440" w:hanging="720"/>
        <w:jc w:val="both"/>
        <w:rPr>
          <w:rFonts w:ascii="David" w:hAnsi="David"/>
          <w:rtl/>
        </w:rPr>
      </w:pPr>
      <w:r>
        <w:rPr>
          <w:rFonts w:ascii="David" w:hAnsi="David"/>
          <w:rtl/>
        </w:rPr>
        <w:t>א.</w:t>
      </w:r>
      <w:r>
        <w:rPr>
          <w:rFonts w:ascii="David" w:hAnsi="David"/>
          <w:rtl/>
        </w:rPr>
        <w:tab/>
        <w:t>טעה בית משפט קמא כשסבר שההליך במחוזי כבר הכריע בשלילה, בשאלת תוקף המתנה, סוגיה העומדת בלב התובענה קמא דנן.</w:t>
      </w:r>
    </w:p>
    <w:p w:rsidR="00943DD7" w:rsidRDefault="00943DD7" w:rsidP="00014FF4">
      <w:pPr>
        <w:spacing w:after="120" w:line="360" w:lineRule="auto"/>
        <w:ind w:left="1440" w:hanging="720"/>
        <w:jc w:val="both"/>
        <w:rPr>
          <w:rFonts w:ascii="David" w:hAnsi="David"/>
          <w:rtl/>
        </w:rPr>
      </w:pPr>
      <w:r>
        <w:rPr>
          <w:rFonts w:ascii="David" w:hAnsi="David"/>
          <w:rtl/>
        </w:rPr>
        <w:tab/>
        <w:t>בהליך במחוזי כלל לא נדונה עסקת המתנה, וממילא עסקת המתנה לא בוטלה בהליך במחוזי, הגם שבית המשפט שם הורה על מחיקת הערת האזהרה שנרשמה על שם המנוח בעקבות עסקת המתנה.</w:t>
      </w:r>
    </w:p>
    <w:p w:rsidR="00943DD7" w:rsidRDefault="00943DD7" w:rsidP="00014FF4">
      <w:pPr>
        <w:spacing w:after="120" w:line="360" w:lineRule="auto"/>
        <w:ind w:left="1440" w:hanging="720"/>
        <w:jc w:val="both"/>
        <w:rPr>
          <w:rFonts w:ascii="David" w:hAnsi="David"/>
          <w:rtl/>
        </w:rPr>
      </w:pPr>
      <w:r>
        <w:rPr>
          <w:rFonts w:ascii="David" w:hAnsi="David"/>
          <w:rtl/>
        </w:rPr>
        <w:tab/>
        <w:t xml:space="preserve">מחיקת הערת האזהרה בהליך במחוזי נעשתה בטעות, שכן עסקת המתנה התבצעה על שטח לא מסויים. מכאן </w:t>
      </w:r>
      <w:r w:rsidR="00014FF4">
        <w:rPr>
          <w:rFonts w:ascii="David" w:hAnsi="David"/>
          <w:rtl/>
        </w:rPr>
        <w:t>–</w:t>
      </w:r>
      <w:r>
        <w:rPr>
          <w:rFonts w:ascii="David" w:hAnsi="David"/>
          <w:rtl/>
        </w:rPr>
        <w:t xml:space="preserve"> הגם שבהליך  המחוזי פסקו לחובת הנתבעים (המנוח </w:t>
      </w:r>
      <w:r w:rsidR="00014FF4">
        <w:rPr>
          <w:rFonts w:ascii="David" w:hAnsi="David" w:hint="cs"/>
          <w:rtl/>
        </w:rPr>
        <w:t>ו-מ'</w:t>
      </w:r>
      <w:r>
        <w:rPr>
          <w:rFonts w:ascii="David" w:hAnsi="David"/>
          <w:rtl/>
        </w:rPr>
        <w:t xml:space="preserve">), עסקת המתנה לא בוטלה, והערת האזהרה היתה יכולה להישאר על חלקים אחרים בלתי מסויימים של </w:t>
      </w:r>
      <w:r w:rsidR="00014FF4">
        <w:rPr>
          <w:rFonts w:ascii="David" w:hAnsi="David" w:hint="cs"/>
          <w:rtl/>
        </w:rPr>
        <w:t>מ'</w:t>
      </w:r>
      <w:r>
        <w:rPr>
          <w:rFonts w:ascii="David" w:hAnsi="David"/>
          <w:rtl/>
        </w:rPr>
        <w:t xml:space="preserve"> במקרקעין.</w:t>
      </w:r>
    </w:p>
    <w:p w:rsidR="00943DD7" w:rsidRDefault="00943DD7" w:rsidP="00014FF4">
      <w:pPr>
        <w:spacing w:after="120" w:line="360" w:lineRule="auto"/>
        <w:ind w:left="1440" w:hanging="720"/>
        <w:jc w:val="both"/>
        <w:rPr>
          <w:rFonts w:ascii="David" w:hAnsi="David"/>
          <w:rtl/>
        </w:rPr>
      </w:pPr>
      <w:r>
        <w:rPr>
          <w:rFonts w:ascii="David" w:hAnsi="David"/>
          <w:rtl/>
        </w:rPr>
        <w:tab/>
        <w:t xml:space="preserve">עסקת המתנה נוגעת למחלוקת שהיתה קיימת בתוך המשפחה לנוכח הפקעות לצרכי ציבור, ולא התייחסה לשטח מסויים במקרקעין, נשוא המחלוקת שבין התובעת בהליך במחוזי לבין </w:t>
      </w:r>
      <w:r w:rsidR="00014FF4">
        <w:rPr>
          <w:rFonts w:ascii="David" w:hAnsi="David" w:hint="cs"/>
          <w:rtl/>
        </w:rPr>
        <w:t>מ'</w:t>
      </w:r>
      <w:r>
        <w:rPr>
          <w:rFonts w:ascii="David" w:hAnsi="David"/>
          <w:rtl/>
        </w:rPr>
        <w:t>, שהינו סכסוך עסקי בניהם.</w:t>
      </w:r>
      <w:r>
        <w:rPr>
          <w:rFonts w:ascii="David" w:hAnsi="David"/>
          <w:rtl/>
        </w:rPr>
        <w:tab/>
      </w:r>
    </w:p>
    <w:p w:rsidR="00943DD7" w:rsidRDefault="00943DD7" w:rsidP="00014FF4">
      <w:pPr>
        <w:spacing w:after="120" w:line="360" w:lineRule="auto"/>
        <w:ind w:left="1440" w:hanging="720"/>
        <w:jc w:val="both"/>
        <w:rPr>
          <w:rFonts w:ascii="David" w:hAnsi="David"/>
          <w:rtl/>
        </w:rPr>
      </w:pPr>
      <w:r>
        <w:rPr>
          <w:rFonts w:ascii="David" w:hAnsi="David"/>
          <w:rtl/>
        </w:rPr>
        <w:tab/>
        <w:t>מכאן גם טעה בית משפט קמא כ</w:t>
      </w:r>
      <w:r w:rsidR="00014FF4">
        <w:rPr>
          <w:rFonts w:ascii="David" w:hAnsi="David" w:hint="cs"/>
          <w:rtl/>
        </w:rPr>
        <w:t>ש</w:t>
      </w:r>
      <w:r>
        <w:rPr>
          <w:rFonts w:ascii="David" w:hAnsi="David"/>
          <w:rtl/>
        </w:rPr>
        <w:t xml:space="preserve">סבר, שפסק הדין בהלך במחוזי ביטל את הסכם המתנה מעיקרו, שכן </w:t>
      </w:r>
      <w:r w:rsidR="00014FF4">
        <w:rPr>
          <w:rFonts w:ascii="David" w:hAnsi="David" w:hint="cs"/>
          <w:rtl/>
        </w:rPr>
        <w:t>מ'</w:t>
      </w:r>
      <w:r>
        <w:rPr>
          <w:rFonts w:ascii="David" w:hAnsi="David"/>
          <w:rtl/>
        </w:rPr>
        <w:t xml:space="preserve"> לא היה יכול לתת למנוח במתנה את שטח המתנה המסויים, שלא היה לו.   </w:t>
      </w:r>
    </w:p>
    <w:p w:rsidR="00943DD7" w:rsidRDefault="00943DD7" w:rsidP="00014FF4">
      <w:pPr>
        <w:spacing w:after="120" w:line="360" w:lineRule="auto"/>
        <w:ind w:left="1440" w:hanging="720"/>
        <w:jc w:val="both"/>
        <w:rPr>
          <w:rFonts w:ascii="David" w:hAnsi="David"/>
          <w:rtl/>
        </w:rPr>
      </w:pPr>
      <w:r>
        <w:rPr>
          <w:rFonts w:ascii="David" w:hAnsi="David"/>
          <w:rtl/>
        </w:rPr>
        <w:t>ב.</w:t>
      </w:r>
      <w:r>
        <w:rPr>
          <w:rFonts w:ascii="David" w:hAnsi="David"/>
          <w:rtl/>
        </w:rPr>
        <w:tab/>
        <w:t xml:space="preserve">טעה בית משפט קמא כשביסס את פסק דינו על חוות דעת מודד מטעם המשיבים (שהבניה המבוצעת על ידי </w:t>
      </w:r>
      <w:r w:rsidR="00014FF4">
        <w:rPr>
          <w:rFonts w:ascii="David" w:hAnsi="David" w:hint="cs"/>
          <w:rtl/>
        </w:rPr>
        <w:t>ג'</w:t>
      </w:r>
      <w:r>
        <w:rPr>
          <w:rFonts w:ascii="David" w:hAnsi="David"/>
          <w:rtl/>
        </w:rPr>
        <w:t xml:space="preserve"> אינה חורגת משטח מגרש </w:t>
      </w:r>
      <w:r w:rsidR="00014FF4">
        <w:rPr>
          <w:rFonts w:ascii="David" w:hAnsi="David" w:hint="cs"/>
          <w:rtl/>
        </w:rPr>
        <w:t>00</w:t>
      </w:r>
      <w:r>
        <w:rPr>
          <w:rFonts w:ascii="David" w:hAnsi="David"/>
          <w:rtl/>
        </w:rPr>
        <w:t xml:space="preserve">/3, שבחלוקה דה פקטו בין בעלי המקרקעין הרשומים, נפל בחלקו של </w:t>
      </w:r>
      <w:r w:rsidR="00014FF4">
        <w:rPr>
          <w:rFonts w:ascii="David" w:hAnsi="David" w:hint="cs"/>
          <w:rtl/>
        </w:rPr>
        <w:t>מ'</w:t>
      </w:r>
      <w:r>
        <w:rPr>
          <w:rFonts w:ascii="David" w:hAnsi="David"/>
          <w:rtl/>
        </w:rPr>
        <w:t xml:space="preserve"> - אביו של </w:t>
      </w:r>
      <w:r w:rsidR="00014FF4">
        <w:rPr>
          <w:rFonts w:ascii="David" w:hAnsi="David" w:hint="cs"/>
          <w:rtl/>
        </w:rPr>
        <w:t>ג'</w:t>
      </w:r>
      <w:r>
        <w:rPr>
          <w:rFonts w:ascii="David" w:hAnsi="David"/>
          <w:rtl/>
        </w:rPr>
        <w:t>).</w:t>
      </w:r>
    </w:p>
    <w:p w:rsidR="00943DD7" w:rsidRDefault="00943DD7" w:rsidP="00014FF4">
      <w:pPr>
        <w:spacing w:after="120" w:line="360" w:lineRule="auto"/>
        <w:ind w:left="1440" w:hanging="720"/>
        <w:jc w:val="both"/>
        <w:rPr>
          <w:rFonts w:ascii="David" w:hAnsi="David"/>
          <w:rtl/>
        </w:rPr>
      </w:pPr>
      <w:r>
        <w:rPr>
          <w:rFonts w:ascii="David" w:hAnsi="David"/>
          <w:rtl/>
        </w:rPr>
        <w:tab/>
        <w:t xml:space="preserve">חוות דעת מודד זאת אינה ערוכה כנדרש לפקודת הראיות, ולא הכילה הצהרת מומחה בניגוד לסעיף 25(ב) לפקודת הראיות. </w:t>
      </w:r>
    </w:p>
    <w:p w:rsidR="00943DD7" w:rsidRDefault="00943DD7" w:rsidP="00014FF4">
      <w:pPr>
        <w:spacing w:after="120" w:line="360" w:lineRule="auto"/>
        <w:ind w:left="1440" w:hanging="720"/>
        <w:jc w:val="both"/>
        <w:rPr>
          <w:rFonts w:ascii="David" w:hAnsi="David"/>
          <w:rtl/>
        </w:rPr>
      </w:pPr>
      <w:r>
        <w:rPr>
          <w:rFonts w:ascii="David" w:hAnsi="David"/>
          <w:rtl/>
        </w:rPr>
        <w:tab/>
        <w:t xml:space="preserve">זאת תוך התעלמות מחוות דעת מודד שהגישו המבקשים, המלמדת כי המשיבים עושים דין לעצמם, ומחזיקים בשטח חורג, תוך פלישה לשטח המתנה שבמחלוקת. </w:t>
      </w:r>
    </w:p>
    <w:p w:rsidR="00943DD7" w:rsidRDefault="00943DD7" w:rsidP="00014FF4">
      <w:pPr>
        <w:spacing w:after="120" w:line="360" w:lineRule="auto"/>
        <w:ind w:left="1440" w:hanging="720"/>
        <w:jc w:val="both"/>
        <w:rPr>
          <w:rFonts w:ascii="David" w:hAnsi="David"/>
          <w:rtl/>
        </w:rPr>
      </w:pPr>
      <w:r>
        <w:rPr>
          <w:rFonts w:ascii="David" w:hAnsi="David"/>
          <w:rtl/>
        </w:rPr>
        <w:t>ג.</w:t>
      </w:r>
      <w:r>
        <w:rPr>
          <w:rFonts w:ascii="David" w:hAnsi="David"/>
          <w:rtl/>
        </w:rPr>
        <w:tab/>
        <w:t xml:space="preserve">טעה בית משפט קמא כשקיבל את טענת המשיבים, כי היתה קיימת חלוקה למעשה (דה פקטו) של המקרקעין, הגם שעסקינן בזכויות במקרקעין הרשומות </w:t>
      </w:r>
      <w:r>
        <w:rPr>
          <w:rFonts w:ascii="David" w:hAnsi="David"/>
          <w:rtl/>
        </w:rPr>
        <w:lastRenderedPageBreak/>
        <w:t xml:space="preserve">במושע, ואין חלוקה מוסכמת בין כל בעלי הזכויות במקרקעין.  לכן גם טעה בית המשפט כשייחס את מגרש </w:t>
      </w:r>
      <w:r w:rsidR="00014FF4">
        <w:rPr>
          <w:rFonts w:ascii="David" w:hAnsi="David" w:hint="cs"/>
          <w:rtl/>
        </w:rPr>
        <w:t>00</w:t>
      </w:r>
      <w:r>
        <w:rPr>
          <w:rFonts w:ascii="David" w:hAnsi="David"/>
          <w:rtl/>
        </w:rPr>
        <w:t xml:space="preserve">/3 למשיבים. </w:t>
      </w:r>
    </w:p>
    <w:p w:rsidR="00943DD7" w:rsidRDefault="00943DD7" w:rsidP="00014FF4">
      <w:pPr>
        <w:spacing w:after="120" w:line="360" w:lineRule="auto"/>
        <w:ind w:left="1440" w:hanging="720"/>
        <w:jc w:val="both"/>
        <w:rPr>
          <w:rFonts w:ascii="David" w:hAnsi="David"/>
          <w:rtl/>
        </w:rPr>
      </w:pPr>
      <w:r>
        <w:rPr>
          <w:rFonts w:ascii="David" w:hAnsi="David"/>
          <w:rtl/>
        </w:rPr>
        <w:t>ד.</w:t>
      </w:r>
      <w:r>
        <w:rPr>
          <w:rFonts w:ascii="David" w:hAnsi="David"/>
          <w:rtl/>
        </w:rPr>
        <w:tab/>
        <w:t>בנדון חרגה הועדה ה</w:t>
      </w:r>
      <w:r w:rsidR="00520BF9">
        <w:rPr>
          <w:rFonts w:ascii="David" w:hAnsi="David"/>
          <w:rtl/>
        </w:rPr>
        <w:t>מקומית, כשהוציא היתר בניה ל</w:t>
      </w:r>
      <w:r w:rsidR="00520BF9">
        <w:rPr>
          <w:rFonts w:ascii="David" w:hAnsi="David" w:hint="cs"/>
          <w:rtl/>
        </w:rPr>
        <w:t>-ג'</w:t>
      </w:r>
      <w:r w:rsidR="00520BF9">
        <w:rPr>
          <w:rFonts w:ascii="David" w:hAnsi="David"/>
          <w:rtl/>
        </w:rPr>
        <w:t xml:space="preserve"> (היא הבניה נשוא הבקשה)</w:t>
      </w:r>
      <w:r w:rsidR="00520BF9">
        <w:rPr>
          <w:rFonts w:ascii="David" w:hAnsi="David" w:hint="cs"/>
          <w:rtl/>
        </w:rPr>
        <w:t>,</w:t>
      </w:r>
      <w:r>
        <w:rPr>
          <w:rFonts w:ascii="David" w:hAnsi="David"/>
          <w:rtl/>
        </w:rPr>
        <w:t xml:space="preserve"> על בסיס תשריט חלוקה לא מוסכם ולא חתום על ידי כל בעלי הזכויות הרשומים במקרקעין.</w:t>
      </w:r>
    </w:p>
    <w:p w:rsidR="00943DD7" w:rsidRDefault="00943DD7" w:rsidP="00520BF9">
      <w:pPr>
        <w:spacing w:after="120" w:line="360" w:lineRule="auto"/>
        <w:ind w:left="1440" w:hanging="720"/>
        <w:jc w:val="both"/>
        <w:rPr>
          <w:rFonts w:ascii="David" w:hAnsi="David"/>
          <w:rtl/>
        </w:rPr>
      </w:pPr>
      <w:r>
        <w:rPr>
          <w:rFonts w:ascii="David" w:hAnsi="David"/>
          <w:rtl/>
        </w:rPr>
        <w:t>ה.</w:t>
      </w:r>
      <w:r>
        <w:rPr>
          <w:rFonts w:ascii="David" w:hAnsi="David"/>
          <w:rtl/>
        </w:rPr>
        <w:tab/>
        <w:t xml:space="preserve">טעה כאמור בית משפט קמא כשקבע פוזטיבית כי מגרש </w:t>
      </w:r>
      <w:r w:rsidR="00520BF9">
        <w:rPr>
          <w:rFonts w:ascii="David" w:hAnsi="David" w:hint="cs"/>
          <w:rtl/>
        </w:rPr>
        <w:t>00</w:t>
      </w:r>
      <w:r>
        <w:rPr>
          <w:rFonts w:ascii="David" w:hAnsi="David"/>
          <w:rtl/>
        </w:rPr>
        <w:t xml:space="preserve">/3 מוחזק בלעדית, בהתאם לחלוקה דה פקטו בין הבעלים, על ידי המשיבים. </w:t>
      </w:r>
    </w:p>
    <w:p w:rsidR="00943DD7" w:rsidRDefault="00943DD7" w:rsidP="00014FF4">
      <w:pPr>
        <w:spacing w:after="120" w:line="360" w:lineRule="auto"/>
        <w:ind w:left="1440" w:hanging="720"/>
        <w:jc w:val="both"/>
        <w:rPr>
          <w:rFonts w:ascii="David" w:hAnsi="David"/>
          <w:rtl/>
        </w:rPr>
      </w:pPr>
      <w:r>
        <w:rPr>
          <w:rFonts w:ascii="David" w:hAnsi="David"/>
          <w:rtl/>
        </w:rPr>
        <w:tab/>
        <w:t xml:space="preserve">בנדון עדיין קיימת מחלוקת בין הצדדים לענין החלקים שטרם נוצלו במקרקעין, לרבות שטח המתנה. </w:t>
      </w:r>
    </w:p>
    <w:p w:rsidR="00943DD7" w:rsidRDefault="00943DD7" w:rsidP="00520BF9">
      <w:pPr>
        <w:spacing w:after="120" w:line="360" w:lineRule="auto"/>
        <w:ind w:left="1440" w:hanging="720"/>
        <w:jc w:val="both"/>
        <w:rPr>
          <w:rFonts w:ascii="David" w:hAnsi="David"/>
          <w:rtl/>
        </w:rPr>
      </w:pPr>
      <w:r>
        <w:rPr>
          <w:rFonts w:ascii="David" w:hAnsi="David"/>
          <w:rtl/>
        </w:rPr>
        <w:t>ו.</w:t>
      </w:r>
      <w:r>
        <w:rPr>
          <w:rFonts w:ascii="David" w:hAnsi="David"/>
          <w:rtl/>
        </w:rPr>
        <w:tab/>
        <w:t xml:space="preserve">טעה בית משפט קמא כשקבע כי המבקשים נמנעו מלהוכיח אחרת בכל הקשור למיקום עבודות הבניה של </w:t>
      </w:r>
      <w:r w:rsidR="00520BF9">
        <w:rPr>
          <w:rFonts w:ascii="David" w:hAnsi="David" w:hint="cs"/>
          <w:rtl/>
        </w:rPr>
        <w:t>ג'</w:t>
      </w:r>
      <w:r>
        <w:rPr>
          <w:rFonts w:ascii="David" w:hAnsi="David"/>
          <w:rtl/>
        </w:rPr>
        <w:t xml:space="preserve">. זאת הגם שהמומחה/מודד מטעם המבקשים ציין בחוות דעתו, כי </w:t>
      </w:r>
      <w:r w:rsidR="00520BF9">
        <w:rPr>
          <w:rFonts w:ascii="David" w:hAnsi="David" w:hint="cs"/>
          <w:rtl/>
        </w:rPr>
        <w:t>ג'</w:t>
      </w:r>
      <w:r>
        <w:rPr>
          <w:rFonts w:ascii="David" w:hAnsi="David"/>
          <w:rtl/>
        </w:rPr>
        <w:t xml:space="preserve"> מחזיק בשטח של 1,484 מ"ר נטו, לאחר הפרשה לצרכי ציבור, בדומה לשטח המתנה </w:t>
      </w:r>
      <w:r w:rsidR="00520BF9">
        <w:rPr>
          <w:rFonts w:ascii="David" w:hAnsi="David"/>
          <w:rtl/>
        </w:rPr>
        <w:t xml:space="preserve">שבמחלוקת. דבר שמוביל למסקנה כי </w:t>
      </w:r>
      <w:r w:rsidR="00520BF9">
        <w:rPr>
          <w:rFonts w:ascii="David" w:hAnsi="David" w:hint="cs"/>
          <w:rtl/>
        </w:rPr>
        <w:t>ג'</w:t>
      </w:r>
      <w:r>
        <w:rPr>
          <w:rFonts w:ascii="David" w:hAnsi="David"/>
          <w:rtl/>
        </w:rPr>
        <w:t xml:space="preserve"> חורג בבנייתו ממגרש </w:t>
      </w:r>
      <w:r w:rsidR="00520BF9">
        <w:rPr>
          <w:rFonts w:ascii="David" w:hAnsi="David" w:hint="cs"/>
          <w:rtl/>
        </w:rPr>
        <w:t>00</w:t>
      </w:r>
      <w:r>
        <w:rPr>
          <w:rFonts w:ascii="David" w:hAnsi="David"/>
          <w:rtl/>
        </w:rPr>
        <w:t xml:space="preserve">/3. </w:t>
      </w:r>
    </w:p>
    <w:p w:rsidR="00943DD7" w:rsidRDefault="00943DD7" w:rsidP="00014FF4">
      <w:pPr>
        <w:spacing w:after="120" w:line="360" w:lineRule="auto"/>
        <w:ind w:left="1440" w:hanging="720"/>
        <w:jc w:val="both"/>
        <w:rPr>
          <w:rFonts w:ascii="David" w:hAnsi="David"/>
          <w:rtl/>
        </w:rPr>
      </w:pPr>
      <w:r>
        <w:rPr>
          <w:rFonts w:ascii="David" w:hAnsi="David"/>
          <w:rtl/>
        </w:rPr>
        <w:t>ז.</w:t>
      </w:r>
      <w:r>
        <w:rPr>
          <w:rFonts w:ascii="David" w:hAnsi="David"/>
          <w:rtl/>
        </w:rPr>
        <w:tab/>
        <w:t>טעה בית המשפט קמא כשקבע כי הבקשה הוגשה בשיהוי. בנדון הבקשה הוגשה מיד עם ביצוע החפירה והחציבה במקרקעין על ידי המשיבים או מי מטעמם.</w:t>
      </w:r>
    </w:p>
    <w:p w:rsidR="00943DD7" w:rsidRDefault="00943DD7" w:rsidP="00520BF9">
      <w:pPr>
        <w:spacing w:after="120" w:line="360" w:lineRule="auto"/>
        <w:ind w:left="1440" w:hanging="720"/>
        <w:jc w:val="both"/>
        <w:rPr>
          <w:rFonts w:ascii="David" w:hAnsi="David"/>
          <w:rtl/>
        </w:rPr>
      </w:pPr>
      <w:r>
        <w:rPr>
          <w:rFonts w:ascii="David" w:hAnsi="David"/>
          <w:rtl/>
        </w:rPr>
        <w:tab/>
        <w:t xml:space="preserve">אכן חלק מהמבקשים הגישו התנגדות לועדה המקומית לבקשת היתר הבניה שהגיש </w:t>
      </w:r>
      <w:r w:rsidR="00520BF9">
        <w:rPr>
          <w:rFonts w:ascii="David" w:hAnsi="David" w:hint="cs"/>
          <w:rtl/>
        </w:rPr>
        <w:t>ג'</w:t>
      </w:r>
      <w:r>
        <w:rPr>
          <w:rFonts w:ascii="David" w:hAnsi="David"/>
          <w:rtl/>
        </w:rPr>
        <w:t xml:space="preserve">, אך הדבר אינו גורם למסקנת השיהוי אליה הגיעה בית המשפט לנוכח מועד הגשת הבקשה. </w:t>
      </w:r>
    </w:p>
    <w:p w:rsidR="00943DD7" w:rsidRDefault="00943DD7" w:rsidP="00014FF4">
      <w:pPr>
        <w:spacing w:after="120" w:line="360" w:lineRule="auto"/>
        <w:ind w:left="1440" w:hanging="720"/>
        <w:jc w:val="both"/>
        <w:rPr>
          <w:rFonts w:ascii="David" w:hAnsi="David"/>
          <w:rtl/>
        </w:rPr>
      </w:pPr>
      <w:r>
        <w:rPr>
          <w:rFonts w:ascii="David" w:hAnsi="David"/>
          <w:rtl/>
        </w:rPr>
        <w:tab/>
        <w:t xml:space="preserve">ההיפך – דחיית הבקשה בטענת שיהוי פוגע בעקרון שלטון החוק, שכן למבקשים זכות שביושר במקרקעין הנ"ל מכוח עסקת המתנה, שלא בוטלה, והיא שרירה וקיימת עד היום. </w:t>
      </w:r>
    </w:p>
    <w:p w:rsidR="00943DD7" w:rsidRDefault="00943DD7" w:rsidP="00014FF4">
      <w:pPr>
        <w:spacing w:after="120" w:line="360" w:lineRule="auto"/>
        <w:jc w:val="both"/>
        <w:rPr>
          <w:rFonts w:ascii="David" w:hAnsi="David"/>
          <w:rtl/>
        </w:rPr>
      </w:pPr>
      <w:r>
        <w:rPr>
          <w:rFonts w:ascii="David" w:hAnsi="David"/>
          <w:rtl/>
        </w:rPr>
        <w:t>16.</w:t>
      </w:r>
      <w:r>
        <w:rPr>
          <w:rFonts w:ascii="David" w:hAnsi="David"/>
          <w:rtl/>
        </w:rPr>
        <w:tab/>
      </w:r>
      <w:r>
        <w:rPr>
          <w:rFonts w:ascii="David" w:hAnsi="David"/>
          <w:u w:val="single"/>
          <w:rtl/>
        </w:rPr>
        <w:t>תמצית טענות המשיבים ברמ"ש זה הן כדלקמן</w:t>
      </w:r>
      <w:r>
        <w:rPr>
          <w:rFonts w:ascii="David" w:hAnsi="David"/>
          <w:rtl/>
        </w:rPr>
        <w:t>:</w:t>
      </w:r>
    </w:p>
    <w:p w:rsidR="00943DD7" w:rsidRDefault="00943DD7" w:rsidP="00014FF4">
      <w:pPr>
        <w:spacing w:after="120" w:line="360" w:lineRule="auto"/>
        <w:ind w:firstLine="720"/>
        <w:jc w:val="both"/>
        <w:rPr>
          <w:rFonts w:ascii="David" w:hAnsi="David"/>
          <w:rtl/>
        </w:rPr>
      </w:pPr>
      <w:r>
        <w:rPr>
          <w:rFonts w:ascii="David" w:hAnsi="David"/>
          <w:rtl/>
        </w:rPr>
        <w:t>א.</w:t>
      </w:r>
      <w:r>
        <w:rPr>
          <w:rFonts w:ascii="David" w:hAnsi="David"/>
          <w:rtl/>
        </w:rPr>
        <w:tab/>
      </w:r>
      <w:r>
        <w:rPr>
          <w:rFonts w:ascii="David" w:hAnsi="David"/>
          <w:u w:val="single"/>
          <w:rtl/>
        </w:rPr>
        <w:t>דין בקשת הרשות להידחות על הסף מהטעמים הבאים</w:t>
      </w:r>
      <w:r>
        <w:rPr>
          <w:rFonts w:ascii="David" w:hAnsi="David"/>
          <w:rtl/>
        </w:rPr>
        <w:t>:</w:t>
      </w:r>
    </w:p>
    <w:p w:rsidR="00943DD7" w:rsidRDefault="00943DD7" w:rsidP="00014FF4">
      <w:pPr>
        <w:spacing w:after="120" w:line="360" w:lineRule="auto"/>
        <w:ind w:left="2160" w:hanging="720"/>
        <w:jc w:val="both"/>
        <w:rPr>
          <w:rFonts w:ascii="David" w:hAnsi="David"/>
          <w:rtl/>
        </w:rPr>
      </w:pPr>
      <w:r>
        <w:rPr>
          <w:rFonts w:ascii="David" w:hAnsi="David"/>
          <w:rtl/>
        </w:rPr>
        <w:t>1.</w:t>
      </w:r>
      <w:r>
        <w:rPr>
          <w:rFonts w:ascii="David" w:hAnsi="David"/>
          <w:rtl/>
        </w:rPr>
        <w:tab/>
        <w:t>ערכאת הערעור ממעטת להתערב בהחלטות הערכאה הדיונית בסעדים זמניים, והמקרה דנן אינו חריג. עסקינן בהחלטה קמא מפורטת ומנומקת לאחר דיון נרחב שהתקיים במעמד הצדדים, והשלמת טיעונים בכתב לאחריו;</w:t>
      </w:r>
    </w:p>
    <w:p w:rsidR="00943DD7" w:rsidRDefault="00943DD7" w:rsidP="00520BF9">
      <w:pPr>
        <w:spacing w:after="120" w:line="360" w:lineRule="auto"/>
        <w:ind w:left="2160" w:hanging="720"/>
        <w:jc w:val="both"/>
        <w:rPr>
          <w:rFonts w:ascii="David" w:hAnsi="David"/>
          <w:rtl/>
        </w:rPr>
      </w:pPr>
      <w:r>
        <w:rPr>
          <w:rFonts w:ascii="David" w:hAnsi="David"/>
          <w:rtl/>
        </w:rPr>
        <w:t>2.</w:t>
      </w:r>
      <w:r>
        <w:rPr>
          <w:rFonts w:ascii="David" w:hAnsi="David"/>
          <w:rtl/>
        </w:rPr>
        <w:tab/>
      </w:r>
      <w:r>
        <w:rPr>
          <w:rFonts w:ascii="David" w:hAnsi="David"/>
          <w:u w:val="single"/>
          <w:rtl/>
        </w:rPr>
        <w:t>המבקשים הסתירו בבקשה (וברמ"ש הקודם) עובדות מהותיות, וביניהן</w:t>
      </w:r>
      <w:r>
        <w:rPr>
          <w:rFonts w:ascii="David" w:hAnsi="David"/>
          <w:rtl/>
        </w:rPr>
        <w:t xml:space="preserve">: ההליך במחוזי (שלמעשה ביטל את עסקת המתנה, שכן </w:t>
      </w:r>
      <w:r w:rsidR="00520BF9">
        <w:rPr>
          <w:rFonts w:ascii="David" w:hAnsi="David" w:hint="cs"/>
          <w:rtl/>
        </w:rPr>
        <w:t>מ'</w:t>
      </w:r>
      <w:r>
        <w:rPr>
          <w:rFonts w:ascii="David" w:hAnsi="David"/>
          <w:rtl/>
        </w:rPr>
        <w:t xml:space="preserve"> לא היה יכול </w:t>
      </w:r>
      <w:r>
        <w:rPr>
          <w:rFonts w:ascii="David" w:hAnsi="David"/>
          <w:rtl/>
        </w:rPr>
        <w:lastRenderedPageBreak/>
        <w:t xml:space="preserve">לתת במתנה את שטח המתנה שהיה שטח מסויים, מגרש </w:t>
      </w:r>
      <w:r w:rsidR="00520BF9">
        <w:rPr>
          <w:rFonts w:ascii="David" w:hAnsi="David" w:hint="cs"/>
          <w:rtl/>
        </w:rPr>
        <w:t>00</w:t>
      </w:r>
      <w:r>
        <w:rPr>
          <w:rFonts w:ascii="David" w:hAnsi="David"/>
          <w:rtl/>
        </w:rPr>
        <w:t xml:space="preserve">/5, שלא היה בבעלותו); החלוקה דה פקטו של המקרקעין (חלוקה שמכוחה המבקשים, או מי מהם, בנו את בתיהם על המקרקעין); את עובדת הגשת התנגדות המבקשים לבקשת ההיתר של </w:t>
      </w:r>
      <w:r w:rsidR="00520BF9">
        <w:rPr>
          <w:rFonts w:ascii="David" w:hAnsi="David" w:hint="cs"/>
          <w:rtl/>
        </w:rPr>
        <w:t>ג'</w:t>
      </w:r>
      <w:r>
        <w:rPr>
          <w:rFonts w:ascii="David" w:hAnsi="David"/>
          <w:rtl/>
        </w:rPr>
        <w:t>, ואת הזמן שקצבה להם הועדה המקומית לנקוט בהליך אזרחי בהתייחס לזכויות הנובעות מעסקת המתנה, שלא עמדו בו.</w:t>
      </w:r>
    </w:p>
    <w:p w:rsidR="00943DD7" w:rsidRDefault="00943DD7" w:rsidP="00014FF4">
      <w:pPr>
        <w:spacing w:after="120" w:line="360" w:lineRule="auto"/>
        <w:ind w:left="1440"/>
        <w:jc w:val="both"/>
        <w:rPr>
          <w:rFonts w:ascii="David" w:hAnsi="David"/>
          <w:rtl/>
        </w:rPr>
      </w:pPr>
      <w:r>
        <w:rPr>
          <w:rFonts w:ascii="David" w:hAnsi="David"/>
          <w:rtl/>
        </w:rPr>
        <w:t xml:space="preserve">הסתרה זאת של עובדות מהותיות, מלמדת כי הבקשה הוגשה בחוסר תום לב ובשיהוי ניכר, ודי בכך בכדי לדחות את הבקשה העל הסף, בהיותה בקשה לסעד מן היושר.  </w:t>
      </w:r>
    </w:p>
    <w:p w:rsidR="00943DD7" w:rsidRDefault="00943DD7" w:rsidP="00014FF4">
      <w:pPr>
        <w:spacing w:after="120" w:line="360" w:lineRule="auto"/>
        <w:jc w:val="both"/>
        <w:rPr>
          <w:rFonts w:ascii="David" w:hAnsi="David"/>
          <w:rtl/>
        </w:rPr>
      </w:pPr>
      <w:r>
        <w:rPr>
          <w:rFonts w:ascii="David" w:hAnsi="David"/>
          <w:rtl/>
        </w:rPr>
        <w:tab/>
        <w:t>ב.</w:t>
      </w:r>
      <w:r>
        <w:rPr>
          <w:rFonts w:ascii="David" w:hAnsi="David"/>
          <w:rtl/>
        </w:rPr>
        <w:tab/>
      </w:r>
      <w:r>
        <w:rPr>
          <w:rFonts w:ascii="David" w:hAnsi="David"/>
          <w:u w:val="single"/>
          <w:rtl/>
        </w:rPr>
        <w:t>דין הבקשה להידחות גם לגופא מהטעמים הבאים</w:t>
      </w:r>
      <w:r>
        <w:rPr>
          <w:rFonts w:ascii="David" w:hAnsi="David"/>
          <w:rtl/>
        </w:rPr>
        <w:t xml:space="preserve">: </w:t>
      </w:r>
    </w:p>
    <w:p w:rsidR="00943DD7" w:rsidRDefault="00943DD7" w:rsidP="00014FF4">
      <w:pPr>
        <w:spacing w:after="120" w:line="360" w:lineRule="auto"/>
        <w:ind w:left="2160" w:hanging="620"/>
        <w:jc w:val="both"/>
        <w:rPr>
          <w:rFonts w:ascii="David" w:hAnsi="David"/>
          <w:rtl/>
        </w:rPr>
      </w:pPr>
      <w:r>
        <w:rPr>
          <w:rFonts w:ascii="David" w:hAnsi="David"/>
          <w:rtl/>
        </w:rPr>
        <w:t>1.</w:t>
      </w:r>
      <w:r>
        <w:rPr>
          <w:rFonts w:ascii="David" w:hAnsi="David"/>
          <w:rtl/>
        </w:rPr>
        <w:tab/>
        <w:t>צדק בית משפט קמא כשקבע כי התשתית העובדתית עליה מתבססת התובענה רעועה. מכאן כי סיכויי התובענה נמוכים, ואינם מצדיקים קבלת הבקשה לצו מניעה זמני, שיגרום נזק כספי ניכר למשיבים;</w:t>
      </w:r>
    </w:p>
    <w:p w:rsidR="00943DD7" w:rsidRDefault="00943DD7" w:rsidP="00520BF9">
      <w:pPr>
        <w:spacing w:after="120" w:line="360" w:lineRule="auto"/>
        <w:ind w:left="2160" w:hanging="620"/>
        <w:jc w:val="both"/>
        <w:rPr>
          <w:rFonts w:ascii="David" w:hAnsi="David"/>
          <w:rtl/>
        </w:rPr>
      </w:pPr>
      <w:r>
        <w:rPr>
          <w:rFonts w:ascii="David" w:hAnsi="David"/>
          <w:rtl/>
        </w:rPr>
        <w:tab/>
        <w:t xml:space="preserve">בנדון עולה מההליך במחוזי כי עסקינן בשטח מתנה מסויים, ובפסק הדין שם נקבע כי אינו בעלות </w:t>
      </w:r>
      <w:r w:rsidR="00520BF9">
        <w:rPr>
          <w:rFonts w:ascii="David" w:hAnsi="David" w:hint="cs"/>
          <w:rtl/>
        </w:rPr>
        <w:t>מ'</w:t>
      </w:r>
      <w:r>
        <w:rPr>
          <w:rFonts w:ascii="David" w:hAnsi="David"/>
          <w:rtl/>
        </w:rPr>
        <w:t xml:space="preserve"> אלא בבעלות התובעת שם. מכאן כי </w:t>
      </w:r>
      <w:r w:rsidR="00520BF9">
        <w:rPr>
          <w:rFonts w:ascii="David" w:hAnsi="David" w:hint="cs"/>
          <w:rtl/>
        </w:rPr>
        <w:t>מ'</w:t>
      </w:r>
      <w:r>
        <w:rPr>
          <w:rFonts w:ascii="David" w:hAnsi="David"/>
          <w:rtl/>
        </w:rPr>
        <w:t xml:space="preserve"> לא היה יכול לתת את שטח המתנה למנוח מכח הסכם המתנה, ודין המתנה להתבטל מעיקרא. לכן גם הורה בית המשפט בהליך המחוזי על מחיקת הערת האזהרה שנרשמה לטובת המנוח, בעקבות עסקת המתנה.</w:t>
      </w:r>
    </w:p>
    <w:p w:rsidR="00943DD7" w:rsidRDefault="00943DD7" w:rsidP="00520BF9">
      <w:pPr>
        <w:spacing w:after="120" w:line="360" w:lineRule="auto"/>
        <w:ind w:left="2160" w:hanging="620"/>
        <w:jc w:val="both"/>
        <w:rPr>
          <w:rFonts w:ascii="David" w:hAnsi="David"/>
          <w:rtl/>
        </w:rPr>
      </w:pPr>
      <w:r>
        <w:rPr>
          <w:rFonts w:ascii="David" w:hAnsi="David"/>
          <w:rtl/>
        </w:rPr>
        <w:t>2.</w:t>
      </w:r>
      <w:r>
        <w:rPr>
          <w:rFonts w:ascii="David" w:hAnsi="David"/>
          <w:rtl/>
        </w:rPr>
        <w:tab/>
        <w:t xml:space="preserve">צדק בית משפט קמא כשקיבל הטענה כי היתה קיימת בין בעלי הזכויות הרשומים במקרקעין חלוקה דה פקטו של המקרקעין, על פיה כל צד נהג בשטח שיועד לו לפי חלוקה זאת כבעלים, לרבות בניה עליו. כך נהגו המבקשים (או מי מהם) בבנותם את בתיהם על המקרקעין בהתאם לחלוקה האמורה, וכך נוהגים המשיבים, כשבונים בנדון על מגרש </w:t>
      </w:r>
      <w:r w:rsidR="00520BF9">
        <w:rPr>
          <w:rFonts w:ascii="David" w:hAnsi="David" w:hint="cs"/>
          <w:rtl/>
        </w:rPr>
        <w:t>00</w:t>
      </w:r>
      <w:r>
        <w:rPr>
          <w:rFonts w:ascii="David" w:hAnsi="David"/>
          <w:rtl/>
        </w:rPr>
        <w:t xml:space="preserve">/3 שנפל בחלקם על פי החלוקה. </w:t>
      </w:r>
    </w:p>
    <w:p w:rsidR="00943DD7" w:rsidRDefault="00943DD7" w:rsidP="00520BF9">
      <w:pPr>
        <w:spacing w:after="120" w:line="360" w:lineRule="auto"/>
        <w:ind w:left="2160" w:hanging="720"/>
        <w:jc w:val="both"/>
        <w:rPr>
          <w:rFonts w:ascii="David" w:hAnsi="David"/>
          <w:rtl/>
        </w:rPr>
      </w:pPr>
      <w:r>
        <w:rPr>
          <w:rFonts w:ascii="David" w:hAnsi="David"/>
          <w:rtl/>
        </w:rPr>
        <w:t>3.</w:t>
      </w:r>
      <w:r>
        <w:rPr>
          <w:rFonts w:ascii="David" w:hAnsi="David"/>
          <w:rtl/>
        </w:rPr>
        <w:tab/>
        <w:t xml:space="preserve">בכל מקרה לא מתבצעת בניה בשטח המתנה שבמחלוקת, במגרש </w:t>
      </w:r>
      <w:r w:rsidR="00520BF9">
        <w:rPr>
          <w:rFonts w:ascii="David" w:hAnsi="David" w:hint="cs"/>
          <w:rtl/>
        </w:rPr>
        <w:t>00</w:t>
      </w:r>
      <w:r>
        <w:rPr>
          <w:rFonts w:ascii="David" w:hAnsi="David"/>
          <w:rtl/>
        </w:rPr>
        <w:t>/5, בהתאם לחלוקה הקיימת.</w:t>
      </w:r>
    </w:p>
    <w:p w:rsidR="00943DD7" w:rsidRDefault="00943DD7" w:rsidP="00520BF9">
      <w:pPr>
        <w:spacing w:after="120" w:line="360" w:lineRule="auto"/>
        <w:ind w:left="2160" w:hanging="720"/>
        <w:jc w:val="both"/>
        <w:rPr>
          <w:rFonts w:ascii="David" w:hAnsi="David"/>
          <w:rtl/>
        </w:rPr>
      </w:pPr>
      <w:r>
        <w:rPr>
          <w:rFonts w:ascii="David" w:hAnsi="David"/>
          <w:rtl/>
        </w:rPr>
        <w:t>4.</w:t>
      </w:r>
      <w:r>
        <w:rPr>
          <w:rFonts w:ascii="David" w:hAnsi="David"/>
          <w:rtl/>
        </w:rPr>
        <w:tab/>
        <w:t xml:space="preserve">הבקשה הוגשה בשיהוי, כארבעה חודשים לאחר שהמבקשים היו מודעים להעברת זכויות של </w:t>
      </w:r>
      <w:r w:rsidR="00520BF9">
        <w:rPr>
          <w:rFonts w:ascii="David" w:hAnsi="David" w:hint="cs"/>
          <w:rtl/>
        </w:rPr>
        <w:t>מ'</w:t>
      </w:r>
      <w:r>
        <w:rPr>
          <w:rFonts w:ascii="David" w:hAnsi="David"/>
          <w:rtl/>
        </w:rPr>
        <w:t xml:space="preserve"> במקרקעין לבנו </w:t>
      </w:r>
      <w:r w:rsidR="00520BF9">
        <w:rPr>
          <w:rFonts w:ascii="David" w:hAnsi="David" w:hint="cs"/>
          <w:rtl/>
        </w:rPr>
        <w:t>ג'</w:t>
      </w:r>
      <w:r>
        <w:rPr>
          <w:rFonts w:ascii="David" w:hAnsi="David"/>
          <w:rtl/>
        </w:rPr>
        <w:t>, ולכוונת שניהם לבצע בניה במקרקעין. די בשיהוי זה בכדי לדחות הבקשה.</w:t>
      </w:r>
    </w:p>
    <w:p w:rsidR="00943DD7" w:rsidRDefault="00943DD7" w:rsidP="00014FF4">
      <w:pPr>
        <w:spacing w:after="120" w:line="360" w:lineRule="auto"/>
        <w:ind w:left="2160" w:hanging="720"/>
        <w:jc w:val="both"/>
        <w:rPr>
          <w:rFonts w:ascii="David" w:hAnsi="David"/>
          <w:rtl/>
        </w:rPr>
      </w:pPr>
      <w:r>
        <w:rPr>
          <w:rFonts w:ascii="David" w:hAnsi="David"/>
          <w:rtl/>
        </w:rPr>
        <w:t>3.</w:t>
      </w:r>
      <w:r>
        <w:rPr>
          <w:rFonts w:ascii="David" w:hAnsi="David"/>
          <w:rtl/>
        </w:rPr>
        <w:tab/>
        <w:t xml:space="preserve">כל אלה מטים את מאזן הנוחות לטובתם של המשיבים, ולדחיית הבקשה. </w:t>
      </w:r>
    </w:p>
    <w:p w:rsidR="00943DD7" w:rsidRDefault="00943DD7" w:rsidP="00014FF4">
      <w:pPr>
        <w:spacing w:after="120" w:line="360" w:lineRule="auto"/>
        <w:jc w:val="both"/>
        <w:rPr>
          <w:rFonts w:ascii="David" w:hAnsi="David"/>
          <w:rtl/>
        </w:rPr>
      </w:pPr>
    </w:p>
    <w:p w:rsidR="00943DD7" w:rsidRDefault="00943DD7" w:rsidP="00014FF4">
      <w:pPr>
        <w:spacing w:after="120" w:line="360" w:lineRule="auto"/>
        <w:jc w:val="both"/>
        <w:rPr>
          <w:rFonts w:ascii="David" w:hAnsi="David"/>
          <w:b/>
          <w:bCs/>
          <w:u w:val="single"/>
          <w:rtl/>
        </w:rPr>
      </w:pPr>
      <w:r>
        <w:rPr>
          <w:rFonts w:ascii="David" w:hAnsi="David"/>
          <w:b/>
          <w:bCs/>
          <w:u w:val="single"/>
          <w:rtl/>
        </w:rPr>
        <w:lastRenderedPageBreak/>
        <w:t>דיון והכרעה</w:t>
      </w:r>
    </w:p>
    <w:p w:rsidR="00943DD7" w:rsidRDefault="00943DD7" w:rsidP="00014FF4">
      <w:pPr>
        <w:spacing w:after="120" w:line="360" w:lineRule="auto"/>
        <w:jc w:val="both"/>
        <w:rPr>
          <w:rFonts w:ascii="David" w:hAnsi="David"/>
          <w:rtl/>
        </w:rPr>
      </w:pPr>
      <w:r>
        <w:rPr>
          <w:rFonts w:ascii="David" w:hAnsi="David"/>
          <w:rtl/>
        </w:rPr>
        <w:t>17.</w:t>
      </w:r>
      <w:r>
        <w:rPr>
          <w:rFonts w:ascii="David" w:hAnsi="David"/>
          <w:rtl/>
        </w:rPr>
        <w:tab/>
      </w:r>
      <w:r>
        <w:rPr>
          <w:rFonts w:ascii="David" w:hAnsi="David"/>
          <w:b/>
          <w:bCs/>
          <w:rtl/>
        </w:rPr>
        <w:t>לאחר שבחנתי את הדברים היטב, שוכנעתי ליתן רשות ערעור, ולדחות את הערעור לגופו</w:t>
      </w:r>
      <w:r>
        <w:rPr>
          <w:rFonts w:ascii="David" w:hAnsi="David"/>
          <w:rtl/>
        </w:rPr>
        <w:t>.</w:t>
      </w:r>
    </w:p>
    <w:p w:rsidR="00943DD7" w:rsidRDefault="00943DD7" w:rsidP="00014FF4">
      <w:pPr>
        <w:spacing w:after="120" w:line="360" w:lineRule="auto"/>
        <w:ind w:left="720" w:hanging="720"/>
        <w:jc w:val="both"/>
        <w:rPr>
          <w:rFonts w:ascii="David" w:hAnsi="David"/>
          <w:rtl/>
        </w:rPr>
      </w:pPr>
      <w:r>
        <w:rPr>
          <w:rFonts w:ascii="David" w:hAnsi="David"/>
          <w:rtl/>
        </w:rPr>
        <w:t>18.</w:t>
      </w:r>
      <w:r>
        <w:rPr>
          <w:rFonts w:ascii="David" w:hAnsi="David"/>
          <w:rtl/>
        </w:rPr>
        <w:tab/>
        <w:t xml:space="preserve">צודקים המשיבים כשציינו שעסקינן בבקשת רשות ערעור שעניינה סעד זמני, </w:t>
      </w:r>
      <w:r>
        <w:rPr>
          <w:rFonts w:ascii="David" w:hAnsi="David"/>
          <w:b/>
          <w:bCs/>
          <w:rtl/>
        </w:rPr>
        <w:t xml:space="preserve">"והלכה פסוקה וידועה היא, שבית משפט זה בשבתו כערכאת ערעור ימעט להתערב בהחלטות הערכאה הדיונית בכל הנוגע למתן סעדים זמניים, וכי התערבות שכזו תיעשה במשורה ובמקרים חריגים בלבד" </w:t>
      </w:r>
      <w:r>
        <w:rPr>
          <w:rFonts w:ascii="David" w:hAnsi="David"/>
          <w:rtl/>
        </w:rPr>
        <w:t xml:space="preserve">(ציטוט מהעת האחרונה - בע"מ 4948/23 </w:t>
      </w:r>
      <w:r>
        <w:rPr>
          <w:rFonts w:ascii="David" w:hAnsi="David"/>
          <w:b/>
          <w:bCs/>
          <w:rtl/>
        </w:rPr>
        <w:t>פלוני נ' פלונית</w:t>
      </w:r>
      <w:r>
        <w:rPr>
          <w:rFonts w:ascii="David" w:hAnsi="David"/>
          <w:rtl/>
        </w:rPr>
        <w:t>, פסקה 6 (8.8.2023));</w:t>
      </w:r>
    </w:p>
    <w:p w:rsidR="00943DD7" w:rsidRDefault="00943DD7" w:rsidP="00014FF4">
      <w:pPr>
        <w:spacing w:after="120" w:line="360" w:lineRule="auto"/>
        <w:ind w:left="720" w:hanging="720"/>
        <w:jc w:val="both"/>
        <w:rPr>
          <w:rFonts w:ascii="David" w:hAnsi="David"/>
          <w:rtl/>
        </w:rPr>
      </w:pPr>
      <w:r>
        <w:rPr>
          <w:rFonts w:ascii="David" w:hAnsi="David"/>
          <w:rtl/>
        </w:rPr>
        <w:tab/>
        <w:t xml:space="preserve">לאחר עיון בתיק קמא, בהחלטה קמא, ובטענות הצדדים בפני, נחה דעתי לקבוע, כי לא נפלה טעות המצדיקה את התערבות ערכאת הערעור בהחלטה קמא, העוסקת בדחיית בקשה לסעד זמני. </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u w:val="single"/>
          <w:rtl/>
        </w:rPr>
        <w:t>ראוי להדגיש כבר עתה</w:t>
      </w:r>
      <w:r>
        <w:rPr>
          <w:rFonts w:ascii="David" w:hAnsi="David"/>
          <w:rtl/>
        </w:rPr>
        <w:t xml:space="preserve"> – ההחלטה ברמ"ש הקודם שניתנה על ידי ובמסגרתה נתתי סעד ארעי עד לקיום דיון במעמד הצדדים, ניתנה במעמד צד אחד (כהוראת התקנות, וכמפורט בהחלטה שם), מבלי שגולו בבקשה עובדות מהותיות, עליהן אף עמדו המבקשים בתגובתם (וחלקן פורט בסעיף 16(א)(2) לעיל).</w:t>
      </w:r>
    </w:p>
    <w:p w:rsidR="00943DD7" w:rsidRDefault="00943DD7" w:rsidP="00014FF4">
      <w:pPr>
        <w:spacing w:after="120" w:line="360" w:lineRule="auto"/>
        <w:ind w:left="720" w:hanging="720"/>
        <w:jc w:val="both"/>
        <w:rPr>
          <w:rFonts w:ascii="David" w:hAnsi="David"/>
          <w:rtl/>
        </w:rPr>
      </w:pPr>
      <w:r>
        <w:rPr>
          <w:rFonts w:ascii="David" w:hAnsi="David"/>
          <w:rtl/>
        </w:rPr>
        <w:tab/>
        <w:t xml:space="preserve">כך שההחלטה ברמ"ש הקודם אינה מהווה רוח גבית לקבלת רמ"ש זה, אותו יש לבחון לנוכח מלוא הנתונים שהתגלו במסגרתו. </w:t>
      </w:r>
    </w:p>
    <w:p w:rsidR="00943DD7" w:rsidRDefault="00943DD7" w:rsidP="00014FF4">
      <w:pPr>
        <w:spacing w:after="120" w:line="360" w:lineRule="auto"/>
        <w:ind w:left="720" w:hanging="720"/>
        <w:jc w:val="both"/>
        <w:rPr>
          <w:rFonts w:ascii="David" w:hAnsi="David"/>
          <w:rtl/>
        </w:rPr>
      </w:pPr>
      <w:r>
        <w:rPr>
          <w:rFonts w:ascii="David" w:hAnsi="David"/>
          <w:rtl/>
        </w:rPr>
        <w:t>19.</w:t>
      </w:r>
      <w:r>
        <w:rPr>
          <w:rFonts w:ascii="David" w:hAnsi="David"/>
          <w:rtl/>
        </w:rPr>
        <w:tab/>
      </w:r>
      <w:r>
        <w:rPr>
          <w:rFonts w:ascii="David" w:hAnsi="David"/>
          <w:u w:val="single"/>
          <w:rtl/>
        </w:rPr>
        <w:t>סבורני כי אלה השאלות הדורשות הכרעה במסגרת רמ"ש זה</w:t>
      </w:r>
      <w:r>
        <w:rPr>
          <w:rFonts w:ascii="David" w:hAnsi="David"/>
          <w:rtl/>
        </w:rPr>
        <w:t xml:space="preserve">:    </w:t>
      </w:r>
    </w:p>
    <w:p w:rsidR="00943DD7" w:rsidRDefault="00943DD7" w:rsidP="003610B6">
      <w:pPr>
        <w:spacing w:after="120" w:line="360" w:lineRule="auto"/>
        <w:ind w:left="1440" w:hanging="720"/>
        <w:jc w:val="both"/>
        <w:rPr>
          <w:rFonts w:ascii="David" w:hAnsi="David"/>
          <w:rtl/>
        </w:rPr>
      </w:pPr>
      <w:r>
        <w:rPr>
          <w:rFonts w:ascii="David" w:hAnsi="David"/>
          <w:rtl/>
        </w:rPr>
        <w:t>א.</w:t>
      </w:r>
      <w:r>
        <w:rPr>
          <w:rFonts w:ascii="David" w:hAnsi="David"/>
          <w:rtl/>
        </w:rPr>
        <w:tab/>
        <w:t xml:space="preserve">האם ההליך במחוזי מלמד לכאורה כי עסקינן בשטח מתנה מסויים, שניתן על ידי </w:t>
      </w:r>
      <w:r w:rsidR="003610B6">
        <w:rPr>
          <w:rFonts w:ascii="David" w:hAnsi="David" w:hint="cs"/>
          <w:rtl/>
        </w:rPr>
        <w:t>מ'</w:t>
      </w:r>
      <w:r>
        <w:rPr>
          <w:rFonts w:ascii="David" w:hAnsi="David"/>
          <w:rtl/>
        </w:rPr>
        <w:t xml:space="preserve"> למנוח, והמשמעות לכך מבחינת תוקף המתנה?</w:t>
      </w:r>
    </w:p>
    <w:p w:rsidR="00943DD7" w:rsidRDefault="00943DD7" w:rsidP="00014FF4">
      <w:pPr>
        <w:spacing w:after="120" w:line="360" w:lineRule="auto"/>
        <w:ind w:left="1440" w:hanging="720"/>
        <w:jc w:val="both"/>
        <w:rPr>
          <w:rFonts w:ascii="David" w:hAnsi="David"/>
          <w:rtl/>
        </w:rPr>
      </w:pPr>
      <w:r>
        <w:rPr>
          <w:rFonts w:ascii="David" w:hAnsi="David"/>
          <w:rtl/>
        </w:rPr>
        <w:t>ב.</w:t>
      </w:r>
      <w:r>
        <w:rPr>
          <w:rFonts w:ascii="David" w:hAnsi="David"/>
          <w:rtl/>
        </w:rPr>
        <w:tab/>
        <w:t>האם היתה לאורך השנים חלוקה דה פקטו של המקרקעין, והמשמעות של כך לענין הבניה הנדונה, נשוא הבקשה?</w:t>
      </w:r>
    </w:p>
    <w:p w:rsidR="00943DD7" w:rsidRDefault="00943DD7" w:rsidP="00014FF4">
      <w:pPr>
        <w:spacing w:after="120" w:line="360" w:lineRule="auto"/>
        <w:ind w:left="1440" w:hanging="720"/>
        <w:jc w:val="both"/>
        <w:rPr>
          <w:rFonts w:ascii="David" w:hAnsi="David"/>
          <w:rtl/>
        </w:rPr>
      </w:pPr>
      <w:r>
        <w:rPr>
          <w:rFonts w:ascii="David" w:hAnsi="David"/>
          <w:rtl/>
        </w:rPr>
        <w:t>ג.</w:t>
      </w:r>
      <w:r>
        <w:rPr>
          <w:rFonts w:ascii="David" w:hAnsi="David"/>
          <w:rtl/>
        </w:rPr>
        <w:tab/>
        <w:t>האם הבקשה הוגשה בשיהוי?</w:t>
      </w:r>
    </w:p>
    <w:p w:rsidR="00943DD7" w:rsidRDefault="00943DD7" w:rsidP="00014FF4">
      <w:pPr>
        <w:spacing w:after="120" w:line="360" w:lineRule="auto"/>
        <w:ind w:left="1440" w:hanging="720"/>
        <w:jc w:val="both"/>
        <w:rPr>
          <w:rFonts w:ascii="David" w:hAnsi="David"/>
          <w:rtl/>
        </w:rPr>
      </w:pPr>
      <w:r>
        <w:rPr>
          <w:rFonts w:ascii="David" w:hAnsi="David"/>
          <w:rtl/>
        </w:rPr>
        <w:t>ד.</w:t>
      </w:r>
      <w:r>
        <w:rPr>
          <w:rFonts w:ascii="David" w:hAnsi="David"/>
          <w:rtl/>
        </w:rPr>
        <w:tab/>
        <w:t xml:space="preserve">האם מאזן הנוחות נוטה לטובת המשיבים? </w:t>
      </w:r>
    </w:p>
    <w:p w:rsidR="00943DD7" w:rsidRDefault="00943DD7" w:rsidP="00014FF4">
      <w:pPr>
        <w:spacing w:after="120" w:line="360" w:lineRule="auto"/>
        <w:jc w:val="both"/>
        <w:rPr>
          <w:rFonts w:ascii="David" w:hAnsi="David"/>
          <w:rtl/>
        </w:rPr>
      </w:pPr>
      <w:r>
        <w:rPr>
          <w:rFonts w:ascii="David" w:hAnsi="David"/>
          <w:rtl/>
        </w:rPr>
        <w:t>20.</w:t>
      </w:r>
      <w:r>
        <w:rPr>
          <w:rFonts w:ascii="David" w:hAnsi="David"/>
          <w:rtl/>
        </w:rPr>
        <w:tab/>
      </w:r>
      <w:r>
        <w:rPr>
          <w:rFonts w:ascii="David" w:hAnsi="David"/>
          <w:u w:val="single"/>
          <w:rtl/>
        </w:rPr>
        <w:t>נזכיר כי סעיף 95(ב) לתקנות קובע לאמור</w:t>
      </w:r>
      <w:r>
        <w:rPr>
          <w:rFonts w:ascii="David" w:hAnsi="David"/>
          <w:rtl/>
        </w:rPr>
        <w:t>:</w:t>
      </w:r>
    </w:p>
    <w:p w:rsidR="00943DD7" w:rsidRDefault="00943DD7" w:rsidP="00014FF4">
      <w:pPr>
        <w:spacing w:after="120" w:line="360" w:lineRule="auto"/>
        <w:ind w:left="1440" w:right="709"/>
        <w:jc w:val="both"/>
        <w:rPr>
          <w:rFonts w:ascii="David" w:hAnsi="David"/>
          <w:b/>
          <w:bCs/>
          <w:rtl/>
        </w:rPr>
      </w:pPr>
      <w:r>
        <w:rPr>
          <w:rFonts w:ascii="David" w:hAnsi="David"/>
          <w:b/>
          <w:bCs/>
          <w:rtl/>
        </w:rPr>
        <w:t>"הוגשה בקשה למתן סעד זמני במסגרת תביעה, רשאי בית המשפט לתת את הסעד המבוקש, אם שוכנע, על בסיס ראיות מספקות לכאורה בקיומה של עילת תביעה, בקיום התנאים למתן הסעד כאמור בפרק זה ובנחיצות הסעד הזמני לצורך הגשמת המטרה".</w:t>
      </w:r>
    </w:p>
    <w:p w:rsidR="00943DD7" w:rsidRDefault="00943DD7" w:rsidP="00014FF4">
      <w:pPr>
        <w:spacing w:after="120" w:line="360" w:lineRule="auto"/>
        <w:ind w:left="720"/>
        <w:jc w:val="both"/>
        <w:rPr>
          <w:rFonts w:ascii="David" w:hAnsi="David"/>
          <w:rtl/>
        </w:rPr>
      </w:pPr>
      <w:r>
        <w:rPr>
          <w:rFonts w:ascii="David" w:hAnsi="David"/>
          <w:rtl/>
        </w:rPr>
        <w:lastRenderedPageBreak/>
        <w:t xml:space="preserve">היינו, בכדי ליתן סעד זמני בית משפט צריך להשתכנע על בסיס ראיות מספקות לכאורה בקיומה של עילת תביעה, ובנחיצות הסעד הזמני. </w:t>
      </w:r>
    </w:p>
    <w:p w:rsidR="00943DD7" w:rsidRDefault="00943DD7" w:rsidP="00014FF4">
      <w:pPr>
        <w:spacing w:after="120" w:line="360" w:lineRule="auto"/>
        <w:ind w:left="720"/>
        <w:jc w:val="both"/>
        <w:rPr>
          <w:rFonts w:ascii="David" w:hAnsi="David"/>
          <w:rtl/>
        </w:rPr>
      </w:pPr>
      <w:r>
        <w:rPr>
          <w:rFonts w:ascii="David" w:hAnsi="David"/>
          <w:rtl/>
        </w:rPr>
        <w:t xml:space="preserve">הכרעה בשאלות דלעיל תיתן התשובות לכך, ולהצדקה למתן הסעד הזמני המבוקש בבקשה, אם לאו. </w:t>
      </w:r>
    </w:p>
    <w:p w:rsidR="00943DD7" w:rsidRDefault="00943DD7" w:rsidP="00014FF4">
      <w:pPr>
        <w:spacing w:after="120" w:line="360" w:lineRule="auto"/>
        <w:ind w:left="720"/>
        <w:jc w:val="both"/>
        <w:rPr>
          <w:rFonts w:ascii="David" w:hAnsi="David"/>
          <w:rtl/>
        </w:rPr>
      </w:pPr>
    </w:p>
    <w:p w:rsidR="00943DD7" w:rsidRDefault="00943DD7" w:rsidP="00014FF4">
      <w:pPr>
        <w:spacing w:after="120" w:line="360" w:lineRule="auto"/>
        <w:ind w:right="709"/>
        <w:jc w:val="both"/>
        <w:rPr>
          <w:rFonts w:ascii="David" w:hAnsi="David"/>
          <w:b/>
          <w:bCs/>
          <w:u w:val="single"/>
          <w:rtl/>
        </w:rPr>
      </w:pPr>
      <w:r>
        <w:rPr>
          <w:rFonts w:ascii="David" w:hAnsi="David"/>
          <w:b/>
          <w:bCs/>
          <w:u w:val="single"/>
          <w:rtl/>
        </w:rPr>
        <w:t>שאלה א' – ההליך במחוזי, שטח מתנה מסויים, והמשמעות מבחינת תוקף המתנה</w:t>
      </w:r>
    </w:p>
    <w:p w:rsidR="00943DD7" w:rsidRDefault="00943DD7" w:rsidP="003610B6">
      <w:pPr>
        <w:spacing w:after="120" w:line="360" w:lineRule="auto"/>
        <w:ind w:left="720" w:hanging="720"/>
        <w:jc w:val="both"/>
        <w:rPr>
          <w:rFonts w:ascii="David" w:hAnsi="David"/>
          <w:rtl/>
        </w:rPr>
      </w:pPr>
      <w:r>
        <w:rPr>
          <w:rFonts w:ascii="David" w:hAnsi="David"/>
          <w:rtl/>
        </w:rPr>
        <w:t>21.</w:t>
      </w:r>
      <w:r>
        <w:rPr>
          <w:rFonts w:ascii="David" w:hAnsi="David"/>
          <w:rtl/>
        </w:rPr>
        <w:tab/>
        <w:t xml:space="preserve">כאמור אחת העובדות שבמחלוקת בן הצדדים היא, האם שטח המתנה היה מסויים (מיקום ידוע, מגרש </w:t>
      </w:r>
      <w:r w:rsidR="003610B6">
        <w:rPr>
          <w:rFonts w:ascii="David" w:hAnsi="David" w:hint="cs"/>
          <w:rtl/>
        </w:rPr>
        <w:t>00</w:t>
      </w:r>
      <w:r>
        <w:rPr>
          <w:rFonts w:ascii="David" w:hAnsi="David"/>
          <w:rtl/>
        </w:rPr>
        <w:t xml:space="preserve">/5) או לא מסויים (מתוך חלקיו בכלל של </w:t>
      </w:r>
      <w:r w:rsidR="003610B6">
        <w:rPr>
          <w:rFonts w:ascii="David" w:hAnsi="David" w:hint="cs"/>
          <w:rtl/>
        </w:rPr>
        <w:t>מ'</w:t>
      </w:r>
      <w:r>
        <w:rPr>
          <w:rFonts w:ascii="David" w:hAnsi="David"/>
          <w:rtl/>
        </w:rPr>
        <w:t xml:space="preserve"> במקרקעין). </w:t>
      </w:r>
    </w:p>
    <w:p w:rsidR="00943DD7" w:rsidRDefault="00943DD7" w:rsidP="003610B6">
      <w:pPr>
        <w:spacing w:after="120" w:line="360" w:lineRule="auto"/>
        <w:ind w:left="720" w:hanging="720"/>
        <w:jc w:val="both"/>
        <w:rPr>
          <w:rFonts w:ascii="David" w:hAnsi="David"/>
          <w:rtl/>
        </w:rPr>
      </w:pPr>
      <w:r>
        <w:rPr>
          <w:rFonts w:ascii="David" w:hAnsi="David"/>
          <w:rtl/>
        </w:rPr>
        <w:t>22.</w:t>
      </w:r>
      <w:r>
        <w:rPr>
          <w:rFonts w:ascii="David" w:hAnsi="David"/>
          <w:rtl/>
        </w:rPr>
        <w:tab/>
        <w:t xml:space="preserve">לכאורה עולה מההליך במחוזי כי שטח המתנה היה מסויים, ולא מתוך חלקיו בכלל של </w:t>
      </w:r>
      <w:r w:rsidR="003610B6">
        <w:rPr>
          <w:rFonts w:ascii="David" w:hAnsi="David" w:hint="cs"/>
          <w:rtl/>
        </w:rPr>
        <w:t>מ'</w:t>
      </w:r>
      <w:r>
        <w:rPr>
          <w:rFonts w:ascii="David" w:hAnsi="David"/>
          <w:rtl/>
        </w:rPr>
        <w:t xml:space="preserve"> במקרקעין הרשומים במושע. </w:t>
      </w:r>
    </w:p>
    <w:p w:rsidR="00943DD7" w:rsidRDefault="00943DD7" w:rsidP="00014FF4">
      <w:pPr>
        <w:spacing w:after="120" w:line="360" w:lineRule="auto"/>
        <w:ind w:left="720"/>
        <w:jc w:val="both"/>
        <w:rPr>
          <w:rFonts w:ascii="David" w:hAnsi="David"/>
          <w:rtl/>
        </w:rPr>
      </w:pPr>
      <w:r>
        <w:rPr>
          <w:rFonts w:ascii="David" w:hAnsi="David"/>
          <w:u w:val="single"/>
          <w:rtl/>
        </w:rPr>
        <w:t>ודו</w:t>
      </w:r>
      <w:r w:rsidR="003610B6">
        <w:rPr>
          <w:rFonts w:ascii="David" w:hAnsi="David"/>
          <w:u w:val="single"/>
          <w:rtl/>
        </w:rPr>
        <w:t>ק</w:t>
      </w:r>
      <w:r>
        <w:rPr>
          <w:rFonts w:ascii="David" w:hAnsi="David"/>
          <w:u w:val="single"/>
          <w:rtl/>
        </w:rPr>
        <w:t xml:space="preserve"> </w:t>
      </w:r>
      <w:r w:rsidR="003610B6">
        <w:rPr>
          <w:rFonts w:ascii="David" w:hAnsi="David"/>
          <w:u w:val="single"/>
          <w:rtl/>
        </w:rPr>
        <w:t>–</w:t>
      </w:r>
      <w:r>
        <w:rPr>
          <w:rFonts w:ascii="David" w:hAnsi="David"/>
          <w:u w:val="single"/>
          <w:rtl/>
        </w:rPr>
        <w:t xml:space="preserve"> שטח המקרקעין שהיה במחלוקת בהליך המחוזי, הוא אותו שטח מתנה דנן, כעולה ברורות מסעיף 23 לפסק הדין בהליך במחוזי, שלשונו כדלקמן</w:t>
      </w:r>
      <w:r>
        <w:rPr>
          <w:rFonts w:ascii="David" w:hAnsi="David"/>
          <w:rtl/>
        </w:rPr>
        <w:t>:</w:t>
      </w:r>
    </w:p>
    <w:p w:rsidR="00943DD7" w:rsidRDefault="00943DD7" w:rsidP="003610B6">
      <w:pPr>
        <w:spacing w:after="120" w:line="360" w:lineRule="auto"/>
        <w:ind w:left="1440" w:right="709"/>
        <w:jc w:val="both"/>
        <w:rPr>
          <w:rFonts w:ascii="David" w:hAnsi="David"/>
          <w:b/>
          <w:bCs/>
          <w:rtl/>
        </w:rPr>
      </w:pPr>
      <w:r>
        <w:rPr>
          <w:rFonts w:ascii="David" w:hAnsi="David"/>
          <w:b/>
          <w:bCs/>
          <w:rtl/>
        </w:rPr>
        <w:t xml:space="preserve">"אף הנתבע מס' 4 </w:t>
      </w:r>
      <w:r>
        <w:rPr>
          <w:rFonts w:ascii="David" w:hAnsi="David"/>
          <w:rtl/>
        </w:rPr>
        <w:t>(המנוח – ח"ש)</w:t>
      </w:r>
      <w:r>
        <w:rPr>
          <w:rFonts w:ascii="David" w:hAnsi="David"/>
          <w:b/>
          <w:bCs/>
          <w:rtl/>
        </w:rPr>
        <w:t xml:space="preserve"> אחיו של הנתבע </w:t>
      </w:r>
      <w:r>
        <w:rPr>
          <w:rFonts w:ascii="David" w:hAnsi="David"/>
          <w:rtl/>
        </w:rPr>
        <w:t>(</w:t>
      </w:r>
      <w:r w:rsidR="003610B6">
        <w:rPr>
          <w:rFonts w:ascii="David" w:hAnsi="David" w:hint="cs"/>
          <w:rtl/>
        </w:rPr>
        <w:t>מ'</w:t>
      </w:r>
      <w:r>
        <w:rPr>
          <w:rFonts w:ascii="David" w:hAnsi="David"/>
          <w:rtl/>
        </w:rPr>
        <w:t xml:space="preserve"> – ח"ש)</w:t>
      </w:r>
      <w:r>
        <w:rPr>
          <w:rFonts w:ascii="David" w:hAnsi="David"/>
          <w:b/>
          <w:bCs/>
          <w:rtl/>
        </w:rPr>
        <w:t>, העיד בפני (ותצהיר עדותו הראשית סומן כמוצג נ/9). העד סיפר כי קיבל את הקרקע במתנה מהנתבע, ורשם הערת אזהרה לטובתו. הנתבע מס' 4 הסביר, כי קיבל את הקרקע מאת הנתבע מס' 1, כדי לפתור את הסכסוך שהיה קיים בינו ובין אחיו (לרבות הנתבע מס' 1) על רקע תחושתו כי קופח בחלוקת החלקה".</w:t>
      </w:r>
    </w:p>
    <w:p w:rsidR="00943DD7" w:rsidRDefault="00943DD7" w:rsidP="00014FF4">
      <w:pPr>
        <w:spacing w:after="120" w:line="360" w:lineRule="auto"/>
        <w:ind w:left="720"/>
        <w:jc w:val="both"/>
        <w:rPr>
          <w:rFonts w:ascii="David" w:hAnsi="David"/>
          <w:rtl/>
        </w:rPr>
      </w:pPr>
      <w:r>
        <w:rPr>
          <w:rFonts w:ascii="David" w:hAnsi="David"/>
          <w:rtl/>
        </w:rPr>
        <w:t>כפי שנראה להלן, עולה מפסק הדין בהליך המחוזי כי עסקינן בשטח אדמה</w:t>
      </w:r>
      <w:r>
        <w:rPr>
          <w:rFonts w:ascii="David" w:hAnsi="David"/>
          <w:b/>
          <w:bCs/>
          <w:rtl/>
        </w:rPr>
        <w:t xml:space="preserve"> מסויים</w:t>
      </w:r>
      <w:r>
        <w:rPr>
          <w:rFonts w:ascii="David" w:hAnsi="David"/>
          <w:rtl/>
        </w:rPr>
        <w:t xml:space="preserve"> במקרקעין, אשר הוא שטח המתנה. </w:t>
      </w:r>
    </w:p>
    <w:p w:rsidR="00943DD7" w:rsidRDefault="00943DD7" w:rsidP="00014FF4">
      <w:pPr>
        <w:spacing w:after="120" w:line="360" w:lineRule="auto"/>
        <w:ind w:left="720" w:hanging="720"/>
        <w:jc w:val="both"/>
        <w:rPr>
          <w:rFonts w:ascii="David" w:hAnsi="David"/>
          <w:rtl/>
        </w:rPr>
      </w:pPr>
      <w:r>
        <w:rPr>
          <w:rFonts w:ascii="David" w:hAnsi="David"/>
          <w:rtl/>
        </w:rPr>
        <w:t>23.</w:t>
      </w:r>
      <w:r>
        <w:rPr>
          <w:rFonts w:ascii="David" w:hAnsi="David"/>
          <w:rtl/>
        </w:rPr>
        <w:tab/>
      </w:r>
      <w:r>
        <w:rPr>
          <w:rFonts w:ascii="David" w:hAnsi="David"/>
          <w:u w:val="single"/>
          <w:rtl/>
        </w:rPr>
        <w:t>בנדון נצטט את סעיפים 8-9 לפסק הדין להליך במחוזי המתאר את שטח המקרקעין שבמחלוקת שם</w:t>
      </w:r>
      <w:r>
        <w:rPr>
          <w:rFonts w:ascii="David" w:hAnsi="David"/>
          <w:rtl/>
        </w:rPr>
        <w:t>:</w:t>
      </w:r>
    </w:p>
    <w:p w:rsidR="00943DD7" w:rsidRDefault="00943DD7" w:rsidP="00014FF4">
      <w:pPr>
        <w:spacing w:after="120" w:line="360" w:lineRule="auto"/>
        <w:ind w:left="2160" w:right="709" w:hanging="720"/>
        <w:jc w:val="both"/>
        <w:rPr>
          <w:rFonts w:ascii="David" w:hAnsi="David"/>
          <w:b/>
          <w:bCs/>
          <w:rtl/>
        </w:rPr>
      </w:pPr>
      <w:r>
        <w:rPr>
          <w:rFonts w:ascii="David" w:hAnsi="David"/>
          <w:b/>
          <w:bCs/>
          <w:rtl/>
        </w:rPr>
        <w:t xml:space="preserve">"8. </w:t>
      </w:r>
      <w:r>
        <w:rPr>
          <w:rFonts w:ascii="David" w:hAnsi="David"/>
          <w:b/>
          <w:bCs/>
          <w:rtl/>
        </w:rPr>
        <w:tab/>
        <w:t>מנסח רישום המקרקעין המתייחס למקרקעין, אשר העתקו צורף לכתב התביעה המקורי שהוגש בתיק זה, עולים הפרטים שלהלן.</w:t>
      </w:r>
    </w:p>
    <w:p w:rsidR="00943DD7" w:rsidRDefault="00943DD7" w:rsidP="003610B6">
      <w:pPr>
        <w:spacing w:after="120" w:line="360" w:lineRule="auto"/>
        <w:ind w:left="2160" w:right="709"/>
        <w:jc w:val="both"/>
        <w:rPr>
          <w:rFonts w:ascii="David" w:hAnsi="David"/>
          <w:b/>
          <w:bCs/>
          <w:rtl/>
        </w:rPr>
      </w:pPr>
      <w:r>
        <w:rPr>
          <w:rFonts w:ascii="David" w:hAnsi="David"/>
          <w:b/>
          <w:bCs/>
          <w:rtl/>
        </w:rPr>
        <w:t xml:space="preserve">שטחה הכולל של חלקה 16 הוא 27,596 מ"ר, והיא בבעלותם המשותפת של בעלים שונים. על שם הנתבע מס' 1 </w:t>
      </w:r>
      <w:r>
        <w:rPr>
          <w:rFonts w:ascii="David" w:hAnsi="David"/>
          <w:rtl/>
        </w:rPr>
        <w:t>(</w:t>
      </w:r>
      <w:r w:rsidR="003610B6">
        <w:rPr>
          <w:rFonts w:ascii="David" w:hAnsi="David" w:hint="cs"/>
          <w:rtl/>
        </w:rPr>
        <w:t>מ'</w:t>
      </w:r>
      <w:r>
        <w:rPr>
          <w:rFonts w:ascii="David" w:hAnsi="David"/>
          <w:rtl/>
        </w:rPr>
        <w:t xml:space="preserve"> – ח"ש) </w:t>
      </w:r>
      <w:r>
        <w:rPr>
          <w:rFonts w:ascii="David" w:hAnsi="David"/>
          <w:b/>
          <w:bCs/>
          <w:rtl/>
        </w:rPr>
        <w:t>רשומים החלקים הבאים:</w:t>
      </w:r>
    </w:p>
    <w:p w:rsidR="00943DD7" w:rsidRDefault="00943DD7" w:rsidP="003610B6">
      <w:pPr>
        <w:spacing w:after="120" w:line="360" w:lineRule="auto"/>
        <w:ind w:left="2880" w:right="709" w:hanging="720"/>
        <w:jc w:val="both"/>
        <w:rPr>
          <w:rFonts w:ascii="David" w:hAnsi="David"/>
          <w:b/>
          <w:bCs/>
          <w:rtl/>
        </w:rPr>
      </w:pPr>
      <w:r>
        <w:rPr>
          <w:rFonts w:ascii="David" w:hAnsi="David"/>
          <w:b/>
          <w:bCs/>
          <w:rtl/>
        </w:rPr>
        <w:t>(א)</w:t>
      </w:r>
      <w:r>
        <w:rPr>
          <w:rFonts w:ascii="David" w:hAnsi="David"/>
          <w:b/>
          <w:bCs/>
          <w:rtl/>
        </w:rPr>
        <w:tab/>
        <w:t xml:space="preserve">6130/27196 חלקים, לפי שטר מס' 001 – </w:t>
      </w:r>
      <w:r w:rsidR="003610B6">
        <w:rPr>
          <w:rFonts w:ascii="David" w:hAnsi="David" w:hint="cs"/>
          <w:b/>
          <w:bCs/>
          <w:rtl/>
        </w:rPr>
        <w:t>000000</w:t>
      </w:r>
      <w:r>
        <w:rPr>
          <w:rFonts w:ascii="David" w:hAnsi="David"/>
          <w:b/>
          <w:bCs/>
          <w:rtl/>
        </w:rPr>
        <w:t xml:space="preserve"> מתאריך 28.4.1994 ("מכר ללא תמורה");</w:t>
      </w:r>
    </w:p>
    <w:p w:rsidR="00943DD7" w:rsidRDefault="00943DD7" w:rsidP="003610B6">
      <w:pPr>
        <w:spacing w:after="120" w:line="360" w:lineRule="auto"/>
        <w:ind w:left="2880" w:right="709" w:hanging="720"/>
        <w:jc w:val="both"/>
        <w:rPr>
          <w:rFonts w:ascii="David" w:hAnsi="David"/>
          <w:b/>
          <w:bCs/>
          <w:rtl/>
        </w:rPr>
      </w:pPr>
      <w:r>
        <w:rPr>
          <w:rFonts w:ascii="David" w:hAnsi="David"/>
          <w:b/>
          <w:bCs/>
          <w:rtl/>
        </w:rPr>
        <w:lastRenderedPageBreak/>
        <w:t>(ב)</w:t>
      </w:r>
      <w:r>
        <w:rPr>
          <w:rFonts w:ascii="David" w:hAnsi="David"/>
          <w:b/>
          <w:bCs/>
          <w:rtl/>
        </w:rPr>
        <w:tab/>
        <w:t xml:space="preserve">1479/27196 חלקים, לפי שטר מס' 001 – </w:t>
      </w:r>
      <w:r w:rsidR="003610B6">
        <w:rPr>
          <w:rFonts w:ascii="David" w:hAnsi="David" w:hint="cs"/>
          <w:b/>
          <w:bCs/>
          <w:rtl/>
        </w:rPr>
        <w:t>000000</w:t>
      </w:r>
      <w:r>
        <w:rPr>
          <w:rFonts w:ascii="David" w:hAnsi="David"/>
          <w:b/>
          <w:bCs/>
          <w:rtl/>
        </w:rPr>
        <w:t xml:space="preserve"> מתאריך 2.12.1999 ("מכר"). </w:t>
      </w:r>
    </w:p>
    <w:p w:rsidR="00943DD7" w:rsidRDefault="00943DD7" w:rsidP="00014FF4">
      <w:pPr>
        <w:spacing w:after="120" w:line="360" w:lineRule="auto"/>
        <w:ind w:left="2160" w:right="709" w:hanging="720"/>
        <w:jc w:val="both"/>
        <w:rPr>
          <w:rFonts w:ascii="David" w:hAnsi="David"/>
          <w:b/>
          <w:bCs/>
          <w:rtl/>
        </w:rPr>
      </w:pPr>
      <w:r>
        <w:rPr>
          <w:rFonts w:ascii="David" w:hAnsi="David"/>
          <w:b/>
          <w:bCs/>
          <w:rtl/>
        </w:rPr>
        <w:t>9.</w:t>
      </w:r>
      <w:r>
        <w:rPr>
          <w:rFonts w:ascii="David" w:hAnsi="David"/>
          <w:b/>
          <w:bCs/>
          <w:rtl/>
        </w:rPr>
        <w:tab/>
        <w:t xml:space="preserve">תביעת התובעת מתייחסת לזכויות הרשומות על שם הנתבע מס' 1 לפי סעיף קטן (ב) שלעיל. על זכויות אלה נרשמה בתאריך 23.12.2002 הערת אזהרה לטובת הנתבע מס' 4 </w:t>
      </w:r>
      <w:r>
        <w:rPr>
          <w:rFonts w:ascii="David" w:hAnsi="David"/>
          <w:rtl/>
        </w:rPr>
        <w:t>( המנוח – ח"ש).</w:t>
      </w:r>
      <w:r>
        <w:rPr>
          <w:rFonts w:ascii="David" w:hAnsi="David"/>
          <w:b/>
          <w:bCs/>
          <w:rtl/>
        </w:rPr>
        <w:t xml:space="preserve"> הנתבע מס' 4, הוא אחיו של הנתבע מס' 1".</w:t>
      </w:r>
    </w:p>
    <w:p w:rsidR="00943DD7" w:rsidRDefault="00943DD7" w:rsidP="003610B6">
      <w:pPr>
        <w:spacing w:after="120" w:line="360" w:lineRule="auto"/>
        <w:ind w:left="720"/>
        <w:jc w:val="both"/>
        <w:rPr>
          <w:rFonts w:ascii="David" w:hAnsi="David"/>
          <w:rtl/>
        </w:rPr>
      </w:pPr>
      <w:r>
        <w:rPr>
          <w:rFonts w:ascii="David" w:hAnsi="David"/>
          <w:rtl/>
        </w:rPr>
        <w:t xml:space="preserve">כבר מהגדרת המקרקעין בפסק הדין בהליך המחוזי, רואים הפרדה בין שטח המתנה (שטח המקרקעין נשוא סעיף 8(ב) לפסק הדין בהלך המחוזי), לבין יתר החלקים חלקיו של </w:t>
      </w:r>
      <w:r w:rsidR="003610B6">
        <w:rPr>
          <w:rFonts w:ascii="David" w:hAnsi="David" w:hint="cs"/>
          <w:rtl/>
        </w:rPr>
        <w:t>מ'</w:t>
      </w:r>
      <w:r>
        <w:rPr>
          <w:rFonts w:ascii="David" w:hAnsi="David"/>
          <w:rtl/>
        </w:rPr>
        <w:t xml:space="preserve"> במקרקעין (שטח המקרקעין נשוא סעיף 8(א) לפסק הדין האמור).</w:t>
      </w:r>
    </w:p>
    <w:p w:rsidR="00943DD7" w:rsidRDefault="00943DD7" w:rsidP="00014FF4">
      <w:pPr>
        <w:spacing w:after="120" w:line="360" w:lineRule="auto"/>
        <w:ind w:left="720" w:right="142" w:hanging="720"/>
        <w:jc w:val="both"/>
        <w:rPr>
          <w:rFonts w:ascii="David" w:hAnsi="David"/>
          <w:rtl/>
        </w:rPr>
      </w:pPr>
      <w:r>
        <w:rPr>
          <w:rFonts w:ascii="David" w:hAnsi="David"/>
          <w:rtl/>
        </w:rPr>
        <w:t>24.</w:t>
      </w:r>
      <w:r>
        <w:rPr>
          <w:rFonts w:ascii="David" w:hAnsi="David"/>
          <w:rtl/>
        </w:rPr>
        <w:tab/>
        <w:t xml:space="preserve">בפסק הדין אף מצויינות עובדות המלמדות כי שטח המתנה, נשוא סעיף 8(ב) לפסק הדין בהליך המחוזי, הוא מסויים, ומיקומו ידוע. </w:t>
      </w:r>
    </w:p>
    <w:p w:rsidR="00943DD7" w:rsidRDefault="00943DD7" w:rsidP="00014FF4">
      <w:pPr>
        <w:spacing w:after="120" w:line="360" w:lineRule="auto"/>
        <w:ind w:left="720" w:right="142"/>
        <w:jc w:val="both"/>
        <w:rPr>
          <w:rFonts w:ascii="David" w:hAnsi="David"/>
          <w:rtl/>
        </w:rPr>
      </w:pPr>
      <w:r>
        <w:rPr>
          <w:rFonts w:ascii="David" w:hAnsi="David"/>
          <w:u w:val="single"/>
          <w:rtl/>
        </w:rPr>
        <w:t>נצטט בנדון קטעים מפסק הדין בהליך המחוזי</w:t>
      </w:r>
      <w:r>
        <w:rPr>
          <w:rFonts w:ascii="David" w:hAnsi="David"/>
          <w:rtl/>
        </w:rPr>
        <w:t>:</w:t>
      </w:r>
    </w:p>
    <w:p w:rsidR="00943DD7" w:rsidRDefault="00943DD7" w:rsidP="00014FF4">
      <w:pPr>
        <w:spacing w:after="120" w:line="360" w:lineRule="auto"/>
        <w:ind w:left="720" w:right="142"/>
        <w:jc w:val="both"/>
        <w:rPr>
          <w:rFonts w:ascii="David" w:hAnsi="David"/>
          <w:rtl/>
        </w:rPr>
      </w:pPr>
      <w:r>
        <w:rPr>
          <w:rFonts w:ascii="David" w:hAnsi="David"/>
          <w:u w:val="single"/>
          <w:rtl/>
        </w:rPr>
        <w:t>סעיף 12 לפסק הדין שם</w:t>
      </w:r>
      <w:r>
        <w:rPr>
          <w:rFonts w:ascii="David" w:hAnsi="David"/>
          <w:rtl/>
        </w:rPr>
        <w:t>:</w:t>
      </w:r>
    </w:p>
    <w:p w:rsidR="00943DD7" w:rsidRDefault="00943DD7" w:rsidP="006C2800">
      <w:pPr>
        <w:spacing w:after="120" w:line="360" w:lineRule="auto"/>
        <w:ind w:left="1440" w:right="709"/>
        <w:jc w:val="both"/>
        <w:rPr>
          <w:rFonts w:ascii="David" w:hAnsi="David"/>
          <w:rtl/>
        </w:rPr>
      </w:pPr>
      <w:r>
        <w:rPr>
          <w:rFonts w:ascii="David" w:hAnsi="David"/>
          <w:b/>
          <w:bCs/>
          <w:rtl/>
        </w:rPr>
        <w:t xml:space="preserve">"לדברי מר </w:t>
      </w:r>
      <w:r w:rsidR="006C2800">
        <w:rPr>
          <w:rFonts w:ascii="David" w:hAnsi="David" w:hint="cs"/>
          <w:b/>
          <w:bCs/>
          <w:rtl/>
        </w:rPr>
        <w:t>ב. י</w:t>
      </w:r>
      <w:r>
        <w:rPr>
          <w:rFonts w:ascii="David" w:hAnsi="David"/>
          <w:b/>
          <w:bCs/>
          <w:rtl/>
        </w:rPr>
        <w:t xml:space="preserve"> </w:t>
      </w:r>
      <w:r>
        <w:rPr>
          <w:rFonts w:ascii="David" w:hAnsi="David"/>
          <w:rtl/>
        </w:rPr>
        <w:t>(מנהל התובעת שם – ח"ש)</w:t>
      </w:r>
      <w:r>
        <w:rPr>
          <w:rFonts w:ascii="David" w:hAnsi="David"/>
          <w:b/>
          <w:bCs/>
          <w:rtl/>
        </w:rPr>
        <w:t>, לצורך רכישת הזכויות בחלקה 16, הוא העביר לידי הנתבע מס' 1 סך 220,000 ₪ על מנת שירכוש זכויות במקרקעין אלה, אשר על חלק ממנה בנוי</w:t>
      </w:r>
      <w:r w:rsidR="006C2800">
        <w:rPr>
          <w:rFonts w:ascii="David" w:hAnsi="David" w:hint="cs"/>
          <w:b/>
          <w:bCs/>
          <w:rtl/>
        </w:rPr>
        <w:t>[</w:t>
      </w:r>
      <w:r>
        <w:rPr>
          <w:rFonts w:ascii="David" w:hAnsi="David"/>
          <w:b/>
          <w:bCs/>
          <w:rtl/>
        </w:rPr>
        <w:t>ה</w:t>
      </w:r>
      <w:r w:rsidR="006C2800">
        <w:rPr>
          <w:rFonts w:ascii="David" w:hAnsi="David" w:hint="cs"/>
          <w:b/>
          <w:bCs/>
          <w:rtl/>
        </w:rPr>
        <w:t>]</w:t>
      </w:r>
      <w:r>
        <w:rPr>
          <w:rFonts w:ascii="David" w:hAnsi="David"/>
          <w:b/>
          <w:bCs/>
          <w:rtl/>
        </w:rPr>
        <w:t xml:space="preserve"> </w:t>
      </w:r>
      <w:r w:rsidR="006C2800">
        <w:rPr>
          <w:rFonts w:ascii="David" w:hAnsi="David" w:hint="cs"/>
          <w:b/>
          <w:bCs/>
          <w:rtl/>
        </w:rPr>
        <w:t xml:space="preserve">[עסק] </w:t>
      </w:r>
      <w:r>
        <w:rPr>
          <w:rFonts w:ascii="David" w:hAnsi="David"/>
          <w:b/>
          <w:bCs/>
          <w:rtl/>
        </w:rPr>
        <w:t>שבבעלו</w:t>
      </w:r>
      <w:r w:rsidR="006C2800">
        <w:rPr>
          <w:rFonts w:ascii="David" w:hAnsi="David"/>
          <w:b/>
          <w:bCs/>
          <w:rtl/>
        </w:rPr>
        <w:t>ת הנתבע מס' 1. לדברי מר ב</w:t>
      </w:r>
      <w:r w:rsidR="006C2800">
        <w:rPr>
          <w:rFonts w:ascii="David" w:hAnsi="David" w:hint="cs"/>
          <w:b/>
          <w:bCs/>
          <w:rtl/>
        </w:rPr>
        <w:t>. י</w:t>
      </w:r>
      <w:r>
        <w:rPr>
          <w:rFonts w:ascii="David" w:hAnsi="David"/>
          <w:b/>
          <w:bCs/>
          <w:rtl/>
        </w:rPr>
        <w:t xml:space="preserve">, הנתבע מס' 1 פנה לקרוב משפחתו, מר </w:t>
      </w:r>
      <w:r w:rsidR="006C2800">
        <w:rPr>
          <w:rFonts w:ascii="David" w:hAnsi="David" w:hint="cs"/>
          <w:b/>
          <w:bCs/>
          <w:rtl/>
        </w:rPr>
        <w:t>ג' ח'</w:t>
      </w:r>
      <w:r>
        <w:rPr>
          <w:rFonts w:ascii="David" w:hAnsi="David"/>
          <w:b/>
          <w:bCs/>
          <w:rtl/>
        </w:rPr>
        <w:t xml:space="preserve">, ורכש ממנו 1479/27796 חלקים מהחלקה, אך תחת שירשום זכויות אלה על שם התובעת, במסגרתה פעלו הצדדים להקמת </w:t>
      </w:r>
      <w:r w:rsidR="006C2800">
        <w:rPr>
          <w:rFonts w:ascii="David" w:hAnsi="David" w:hint="cs"/>
          <w:b/>
          <w:bCs/>
          <w:rtl/>
        </w:rPr>
        <w:t>[מבנה]</w:t>
      </w:r>
      <w:r>
        <w:rPr>
          <w:rFonts w:ascii="David" w:hAnsi="David"/>
          <w:b/>
          <w:bCs/>
          <w:rtl/>
        </w:rPr>
        <w:t>, רשם הנתבע מס' 1 את</w:t>
      </w:r>
      <w:r w:rsidR="006C2800">
        <w:rPr>
          <w:rFonts w:ascii="David" w:hAnsi="David"/>
          <w:b/>
          <w:bCs/>
          <w:rtl/>
        </w:rPr>
        <w:t xml:space="preserve"> הזכויות שרכש, בכסף שמר ב</w:t>
      </w:r>
      <w:r w:rsidR="006C2800">
        <w:rPr>
          <w:rFonts w:ascii="David" w:hAnsi="David" w:hint="cs"/>
          <w:b/>
          <w:bCs/>
          <w:rtl/>
        </w:rPr>
        <w:t>. י</w:t>
      </w:r>
      <w:r>
        <w:rPr>
          <w:rFonts w:ascii="David" w:hAnsi="David"/>
          <w:b/>
          <w:bCs/>
          <w:rtl/>
        </w:rPr>
        <w:t xml:space="preserve"> העביר לו, על שמו שלו"</w:t>
      </w:r>
      <w:r>
        <w:rPr>
          <w:rFonts w:ascii="David" w:hAnsi="David"/>
          <w:rtl/>
        </w:rPr>
        <w:t>.</w:t>
      </w:r>
    </w:p>
    <w:p w:rsidR="00943DD7" w:rsidRDefault="006C2800" w:rsidP="006C2800">
      <w:pPr>
        <w:spacing w:after="120" w:line="360" w:lineRule="auto"/>
        <w:ind w:left="720"/>
        <w:jc w:val="both"/>
        <w:rPr>
          <w:rFonts w:ascii="David" w:hAnsi="David"/>
          <w:rtl/>
        </w:rPr>
      </w:pPr>
      <w:r>
        <w:rPr>
          <w:rFonts w:ascii="David" w:hAnsi="David" w:hint="cs"/>
          <w:rtl/>
        </w:rPr>
        <w:t>מ'</w:t>
      </w:r>
      <w:r w:rsidR="00943DD7">
        <w:rPr>
          <w:rFonts w:ascii="David" w:hAnsi="David"/>
          <w:rtl/>
        </w:rPr>
        <w:t xml:space="preserve"> רכש את שטח המתנה ב</w:t>
      </w:r>
      <w:r>
        <w:rPr>
          <w:rFonts w:ascii="David" w:hAnsi="David"/>
          <w:rtl/>
        </w:rPr>
        <w:t>מיקום ידוע, מסויים, בסמוך ל</w:t>
      </w:r>
      <w:r>
        <w:rPr>
          <w:rFonts w:ascii="David" w:hAnsi="David" w:hint="cs"/>
          <w:rtl/>
        </w:rPr>
        <w:t>[עסק]</w:t>
      </w:r>
      <w:r w:rsidR="00943DD7">
        <w:rPr>
          <w:rFonts w:ascii="David" w:hAnsi="David"/>
          <w:rtl/>
        </w:rPr>
        <w:t xml:space="preserve"> שבבעלותו. </w:t>
      </w:r>
    </w:p>
    <w:p w:rsidR="00943DD7" w:rsidRDefault="00943DD7" w:rsidP="00014FF4">
      <w:pPr>
        <w:spacing w:after="120" w:line="360" w:lineRule="auto"/>
        <w:ind w:firstLine="720"/>
        <w:jc w:val="both"/>
        <w:rPr>
          <w:rFonts w:ascii="David" w:hAnsi="David"/>
          <w:rtl/>
        </w:rPr>
      </w:pPr>
      <w:r>
        <w:rPr>
          <w:rFonts w:ascii="David" w:hAnsi="David"/>
          <w:u w:val="single"/>
          <w:rtl/>
        </w:rPr>
        <w:t>סעיף 16 לפסק הדין שם</w:t>
      </w:r>
      <w:r>
        <w:rPr>
          <w:rFonts w:ascii="David" w:hAnsi="David"/>
          <w:rtl/>
        </w:rPr>
        <w:t>:</w:t>
      </w:r>
    </w:p>
    <w:p w:rsidR="00943DD7" w:rsidRDefault="00943DD7" w:rsidP="006C2800">
      <w:pPr>
        <w:spacing w:after="120" w:line="360" w:lineRule="auto"/>
        <w:ind w:left="1440" w:right="567"/>
        <w:jc w:val="both"/>
        <w:rPr>
          <w:rFonts w:ascii="David" w:hAnsi="David"/>
          <w:b/>
          <w:bCs/>
          <w:rtl/>
        </w:rPr>
      </w:pPr>
      <w:r>
        <w:rPr>
          <w:rFonts w:ascii="David" w:hAnsi="David"/>
          <w:b/>
          <w:bCs/>
          <w:rtl/>
        </w:rPr>
        <w:t xml:space="preserve">"העד הראשון מטעם הנתבע </w:t>
      </w:r>
      <w:r>
        <w:rPr>
          <w:rFonts w:ascii="David" w:hAnsi="David"/>
          <w:rtl/>
        </w:rPr>
        <w:t>(</w:t>
      </w:r>
      <w:r w:rsidR="006C2800">
        <w:rPr>
          <w:rFonts w:ascii="David" w:hAnsi="David" w:hint="cs"/>
          <w:rtl/>
        </w:rPr>
        <w:t>מ'</w:t>
      </w:r>
      <w:r>
        <w:rPr>
          <w:rFonts w:ascii="David" w:hAnsi="David"/>
          <w:rtl/>
        </w:rPr>
        <w:t xml:space="preserve"> – ח"ש)</w:t>
      </w:r>
      <w:r>
        <w:rPr>
          <w:rFonts w:ascii="David" w:hAnsi="David"/>
          <w:b/>
          <w:bCs/>
          <w:rtl/>
        </w:rPr>
        <w:t xml:space="preserve"> היה אחיינו מר </w:t>
      </w:r>
      <w:r w:rsidR="006C2800">
        <w:rPr>
          <w:rFonts w:ascii="David" w:hAnsi="David" w:hint="cs"/>
          <w:b/>
          <w:bCs/>
          <w:rtl/>
        </w:rPr>
        <w:t>כ. ח</w:t>
      </w:r>
      <w:r>
        <w:rPr>
          <w:rFonts w:ascii="David" w:hAnsi="David"/>
          <w:b/>
          <w:bCs/>
          <w:rtl/>
        </w:rPr>
        <w:t xml:space="preserve"> (ותצהיר עדותו הראשית סומן נ/7). בסעיף 2 לתצהיר עדותו הראשית מסר מר </w:t>
      </w:r>
      <w:r w:rsidR="006C2800">
        <w:rPr>
          <w:rFonts w:ascii="David" w:hAnsi="David" w:hint="cs"/>
          <w:b/>
          <w:bCs/>
          <w:rtl/>
        </w:rPr>
        <w:t>ח'</w:t>
      </w:r>
      <w:r>
        <w:rPr>
          <w:rFonts w:ascii="David" w:hAnsi="David"/>
          <w:b/>
          <w:bCs/>
          <w:rtl/>
        </w:rPr>
        <w:t xml:space="preserve">, כי הוא היה זה שמכר לדודו, הנתבע, את הזכויות שבמחלוקת בחלקה 16, וזאת תמורת הסך 50,000 ₪. לדעת מר </w:t>
      </w:r>
      <w:r w:rsidR="006C2800">
        <w:rPr>
          <w:rFonts w:ascii="David" w:hAnsi="David" w:hint="cs"/>
          <w:b/>
          <w:bCs/>
          <w:rtl/>
        </w:rPr>
        <w:t>ח'</w:t>
      </w:r>
      <w:r>
        <w:rPr>
          <w:rFonts w:ascii="David" w:hAnsi="David"/>
          <w:b/>
          <w:bCs/>
          <w:rtl/>
        </w:rPr>
        <w:t xml:space="preserve">, הסכום שקיבל הוא זעום ('כמעט ללא תמורה'), והטעם לכך היה, כי 'אדמה זו מתאימה רק לצרכיו הפרטיים שלו בשל העובדה כי הינה מדרונית וגובלת את חלקתו ואין לה כל גישה, וכמו כן בשל העובדה שהאדמה הזאת מלכתחילה הייתה מיועדת לו'...". </w:t>
      </w:r>
    </w:p>
    <w:p w:rsidR="00943DD7" w:rsidRDefault="00943DD7" w:rsidP="008B674E">
      <w:pPr>
        <w:spacing w:after="120" w:line="360" w:lineRule="auto"/>
        <w:ind w:left="720"/>
        <w:jc w:val="both"/>
        <w:rPr>
          <w:rFonts w:ascii="David" w:hAnsi="David"/>
          <w:rtl/>
        </w:rPr>
      </w:pPr>
      <w:r>
        <w:rPr>
          <w:rFonts w:ascii="David" w:hAnsi="David"/>
          <w:rtl/>
        </w:rPr>
        <w:lastRenderedPageBreak/>
        <w:t xml:space="preserve">שוב, תיאור מיקום מסויים של שטח המתנה, שהינו מדרוני ומתאים רק לצרכיו של </w:t>
      </w:r>
      <w:r w:rsidR="008B674E">
        <w:rPr>
          <w:rFonts w:ascii="David" w:hAnsi="David" w:hint="cs"/>
          <w:rtl/>
        </w:rPr>
        <w:t>מ'</w:t>
      </w:r>
      <w:r>
        <w:rPr>
          <w:rFonts w:ascii="David" w:hAnsi="David"/>
          <w:rtl/>
        </w:rPr>
        <w:t xml:space="preserve"> וגובל בחלקתו (ומכאן גם ראיה לחלוקה דה פקטו של המקרקעין). </w:t>
      </w:r>
    </w:p>
    <w:p w:rsidR="00943DD7" w:rsidRDefault="00943DD7" w:rsidP="00014FF4">
      <w:pPr>
        <w:spacing w:after="120" w:line="360" w:lineRule="auto"/>
        <w:ind w:left="720"/>
        <w:jc w:val="both"/>
        <w:rPr>
          <w:rFonts w:ascii="David" w:hAnsi="David"/>
          <w:rtl/>
        </w:rPr>
      </w:pPr>
    </w:p>
    <w:p w:rsidR="00943DD7" w:rsidRDefault="00943DD7" w:rsidP="00014FF4">
      <w:pPr>
        <w:spacing w:after="120" w:line="360" w:lineRule="auto"/>
        <w:ind w:firstLine="720"/>
        <w:jc w:val="both"/>
        <w:rPr>
          <w:rFonts w:ascii="David" w:hAnsi="David"/>
          <w:rtl/>
        </w:rPr>
      </w:pPr>
      <w:r>
        <w:rPr>
          <w:rFonts w:ascii="David" w:hAnsi="David"/>
          <w:u w:val="single"/>
          <w:rtl/>
        </w:rPr>
        <w:t>סעיף 18 לפסק הדין שם</w:t>
      </w:r>
      <w:r>
        <w:rPr>
          <w:rFonts w:ascii="David" w:hAnsi="David"/>
          <w:rtl/>
        </w:rPr>
        <w:t>:</w:t>
      </w:r>
    </w:p>
    <w:p w:rsidR="00943DD7" w:rsidRDefault="00943DD7" w:rsidP="008B674E">
      <w:pPr>
        <w:spacing w:after="120" w:line="360" w:lineRule="auto"/>
        <w:ind w:left="1440"/>
        <w:jc w:val="both"/>
        <w:rPr>
          <w:rFonts w:ascii="David" w:hAnsi="David"/>
          <w:b/>
          <w:bCs/>
          <w:rtl/>
        </w:rPr>
      </w:pPr>
      <w:r>
        <w:rPr>
          <w:rFonts w:ascii="David" w:hAnsi="David"/>
          <w:b/>
          <w:bCs/>
          <w:rtl/>
        </w:rPr>
        <w:t xml:space="preserve">"ככל שהדברים נוגעים לחלקה 16, מסר הנתבע </w:t>
      </w:r>
      <w:r>
        <w:rPr>
          <w:rFonts w:ascii="David" w:hAnsi="David"/>
          <w:rtl/>
        </w:rPr>
        <w:t>(</w:t>
      </w:r>
      <w:r w:rsidR="008B674E">
        <w:rPr>
          <w:rFonts w:ascii="David" w:hAnsi="David" w:hint="cs"/>
          <w:rtl/>
        </w:rPr>
        <w:t>מ'</w:t>
      </w:r>
      <w:r>
        <w:rPr>
          <w:rFonts w:ascii="David" w:hAnsi="David"/>
          <w:rtl/>
        </w:rPr>
        <w:t xml:space="preserve"> – ח"ש)</w:t>
      </w:r>
      <w:r>
        <w:rPr>
          <w:rFonts w:ascii="David" w:hAnsi="David"/>
          <w:b/>
          <w:bCs/>
          <w:rtl/>
        </w:rPr>
        <w:t xml:space="preserve"> בתצהירו, כי את הזכויות בחלקה 16 קיבל מבן אחותו, מר </w:t>
      </w:r>
      <w:r w:rsidR="008B674E">
        <w:rPr>
          <w:rFonts w:ascii="David" w:hAnsi="David" w:hint="cs"/>
          <w:b/>
          <w:bCs/>
          <w:rtl/>
        </w:rPr>
        <w:t>ח'</w:t>
      </w:r>
      <w:r>
        <w:rPr>
          <w:rFonts w:ascii="David" w:hAnsi="David"/>
          <w:b/>
          <w:bCs/>
          <w:rtl/>
        </w:rPr>
        <w:t xml:space="preserve"> תמורת הסך 50,000 ₪. סכום זה היה סכום זעום ('מחיר מתנה וכמעט ללא תמורה') וזאת בשל העובדה, שהקרקע הייתה מתאימה רק לצרכים הפרטיים של הנתבע. בהקשר זה ציין הנתבע, כי הקרקע מצויה במדרון, וגובלת בקרקע המוחזקת על ידו ואין אליה גישה, וזאת 'בשל העובדה שהאדמה הזאת מלכתחילה הייתה מיועדת לי על ידי אבי ובטעות נרשמה על אדם אחר,...".</w:t>
      </w:r>
    </w:p>
    <w:p w:rsidR="00943DD7" w:rsidRDefault="00943DD7" w:rsidP="008B674E">
      <w:pPr>
        <w:spacing w:after="120" w:line="360" w:lineRule="auto"/>
        <w:jc w:val="both"/>
        <w:rPr>
          <w:rFonts w:ascii="David" w:hAnsi="David"/>
          <w:rtl/>
        </w:rPr>
      </w:pPr>
      <w:r>
        <w:rPr>
          <w:rFonts w:ascii="David" w:hAnsi="David"/>
          <w:b/>
          <w:bCs/>
          <w:rtl/>
        </w:rPr>
        <w:tab/>
      </w:r>
      <w:r>
        <w:rPr>
          <w:rFonts w:ascii="David" w:hAnsi="David"/>
          <w:rtl/>
        </w:rPr>
        <w:t xml:space="preserve">שוב, והפעם מפי </w:t>
      </w:r>
      <w:r w:rsidR="008B674E">
        <w:rPr>
          <w:rFonts w:ascii="David" w:hAnsi="David" w:hint="cs"/>
          <w:rtl/>
        </w:rPr>
        <w:t>מ'</w:t>
      </w:r>
      <w:r>
        <w:rPr>
          <w:rFonts w:ascii="David" w:hAnsi="David"/>
          <w:rtl/>
        </w:rPr>
        <w:t xml:space="preserve">, בדבר מיקום מסויים של שטח המתנה. </w:t>
      </w:r>
    </w:p>
    <w:p w:rsidR="00943DD7" w:rsidRDefault="00943DD7" w:rsidP="00014FF4">
      <w:pPr>
        <w:spacing w:after="120" w:line="360" w:lineRule="auto"/>
        <w:jc w:val="both"/>
        <w:rPr>
          <w:rFonts w:ascii="David" w:hAnsi="David"/>
          <w:rtl/>
        </w:rPr>
      </w:pPr>
      <w:r>
        <w:rPr>
          <w:rFonts w:ascii="David" w:hAnsi="David"/>
          <w:rtl/>
        </w:rPr>
        <w:tab/>
      </w:r>
      <w:r>
        <w:rPr>
          <w:rFonts w:ascii="David" w:hAnsi="David"/>
          <w:u w:val="single"/>
          <w:rtl/>
        </w:rPr>
        <w:t>סעיף 19 לפסק הדין שם</w:t>
      </w:r>
      <w:r>
        <w:rPr>
          <w:rFonts w:ascii="David" w:hAnsi="David"/>
          <w:rtl/>
        </w:rPr>
        <w:t>:</w:t>
      </w:r>
    </w:p>
    <w:p w:rsidR="00943DD7" w:rsidRDefault="00943DD7" w:rsidP="008B674E">
      <w:pPr>
        <w:spacing w:after="120" w:line="360" w:lineRule="auto"/>
        <w:ind w:left="1440"/>
        <w:jc w:val="both"/>
        <w:rPr>
          <w:rFonts w:ascii="David" w:hAnsi="David"/>
          <w:b/>
          <w:bCs/>
          <w:rtl/>
        </w:rPr>
      </w:pPr>
      <w:r>
        <w:rPr>
          <w:rFonts w:ascii="David" w:hAnsi="David"/>
          <w:b/>
          <w:bCs/>
          <w:rtl/>
        </w:rPr>
        <w:t xml:space="preserve">"בחקירתו הנגדית פרט הנתבע </w:t>
      </w:r>
      <w:r>
        <w:rPr>
          <w:rFonts w:ascii="David" w:hAnsi="David"/>
          <w:rtl/>
        </w:rPr>
        <w:t>(</w:t>
      </w:r>
      <w:r w:rsidR="008B674E">
        <w:rPr>
          <w:rFonts w:ascii="David" w:hAnsi="David" w:hint="cs"/>
          <w:rtl/>
        </w:rPr>
        <w:t>מ'</w:t>
      </w:r>
      <w:r>
        <w:rPr>
          <w:rFonts w:ascii="David" w:hAnsi="David"/>
          <w:rtl/>
        </w:rPr>
        <w:t xml:space="preserve"> – ח"ש)</w:t>
      </w:r>
      <w:r>
        <w:rPr>
          <w:rFonts w:ascii="David" w:hAnsi="David"/>
          <w:b/>
          <w:bCs/>
          <w:rtl/>
        </w:rPr>
        <w:t xml:space="preserve"> את השתלשלות הדברים ביחס לקרקע שבמחלוקת, וכך אמר:</w:t>
      </w:r>
    </w:p>
    <w:p w:rsidR="00943DD7" w:rsidRDefault="00943DD7" w:rsidP="00014FF4">
      <w:pPr>
        <w:spacing w:after="120" w:line="360" w:lineRule="auto"/>
        <w:ind w:left="2160" w:right="567"/>
        <w:jc w:val="both"/>
        <w:rPr>
          <w:rFonts w:ascii="David" w:hAnsi="David"/>
          <w:rtl/>
        </w:rPr>
      </w:pPr>
      <w:r>
        <w:rPr>
          <w:rFonts w:ascii="David" w:hAnsi="David"/>
          <w:b/>
          <w:bCs/>
          <w:rtl/>
        </w:rPr>
        <w:t>'יש שם חלקה של 27 דונם. החלקה הזאת התחלקה. בדרך כלל אצלנו לא נותנים לאישה, נותנים רק לגברים. בינתיים חילקנו אדמות, הוצאנו כבישים, ויצאנו שאני הכי מרוויח, גם ליד הכביש, גם לקחתי יותר כבישים על מנת להגיע לחלקות שלי והחלקה הזאת היתה בצמוד לחלקה התחתונה שלי, כי יש לי שתי חלקות, והיא בצורת נקניקיה, ש-45% ממנה הוא שטח ציבורי. החלקה היתה צריכה להיות מיועדת לי ואחרי זה האחים שלי התנגדו. אז לכן היה לנו פיתרון, לרשום את זה על שם אחותנו הבכורה, ולכן החלקה הזאת היתה צריכה להיות שלי. פשוט נתנו את זה לאחותי, אח"כ היא העבירה לבנה ואני קניתי ממנו'..."</w:t>
      </w:r>
      <w:r>
        <w:rPr>
          <w:rFonts w:ascii="David" w:hAnsi="David"/>
          <w:rtl/>
        </w:rPr>
        <w:t>.</w:t>
      </w:r>
    </w:p>
    <w:p w:rsidR="00943DD7" w:rsidRDefault="00943DD7" w:rsidP="00014FF4">
      <w:pPr>
        <w:spacing w:after="120" w:line="360" w:lineRule="auto"/>
        <w:ind w:right="567"/>
        <w:jc w:val="both"/>
        <w:rPr>
          <w:rFonts w:ascii="David" w:hAnsi="David"/>
          <w:rtl/>
        </w:rPr>
      </w:pPr>
      <w:r>
        <w:rPr>
          <w:rFonts w:ascii="David" w:hAnsi="David"/>
          <w:b/>
          <w:bCs/>
          <w:rtl/>
        </w:rPr>
        <w:tab/>
      </w:r>
      <w:r>
        <w:rPr>
          <w:rFonts w:ascii="David" w:hAnsi="David"/>
          <w:rtl/>
        </w:rPr>
        <w:t xml:space="preserve">מקטע זה שוב נלמד כי עסקינן בשטח מתנה שהוא מסויים. </w:t>
      </w:r>
    </w:p>
    <w:p w:rsidR="00943DD7" w:rsidRDefault="00943DD7" w:rsidP="008B674E">
      <w:pPr>
        <w:spacing w:after="120" w:line="360" w:lineRule="auto"/>
        <w:ind w:left="720" w:hanging="720"/>
        <w:jc w:val="both"/>
        <w:rPr>
          <w:rFonts w:ascii="David" w:hAnsi="David"/>
          <w:rtl/>
        </w:rPr>
      </w:pPr>
      <w:r>
        <w:rPr>
          <w:rFonts w:ascii="David" w:hAnsi="David"/>
          <w:rtl/>
        </w:rPr>
        <w:t>25.</w:t>
      </w:r>
      <w:r>
        <w:rPr>
          <w:rFonts w:ascii="David" w:hAnsi="David"/>
          <w:rtl/>
        </w:rPr>
        <w:tab/>
        <w:t xml:space="preserve">את אותו </w:t>
      </w:r>
      <w:r>
        <w:rPr>
          <w:rFonts w:ascii="David" w:hAnsi="David"/>
          <w:b/>
          <w:bCs/>
          <w:rtl/>
        </w:rPr>
        <w:t>שטח מתנה מסויים</w:t>
      </w:r>
      <w:r>
        <w:rPr>
          <w:rFonts w:ascii="David" w:hAnsi="David"/>
          <w:rtl/>
        </w:rPr>
        <w:t xml:space="preserve">, נתן </w:t>
      </w:r>
      <w:r w:rsidR="008B674E">
        <w:rPr>
          <w:rFonts w:ascii="David" w:hAnsi="David" w:hint="cs"/>
          <w:rtl/>
        </w:rPr>
        <w:t>מ'</w:t>
      </w:r>
      <w:r>
        <w:rPr>
          <w:rFonts w:ascii="David" w:hAnsi="David"/>
          <w:rtl/>
        </w:rPr>
        <w:t xml:space="preserve"> לאחיו המנוח במתנה, ומכוח עסקת המתנה אף נרשמה הערת אזהרה לטובת המנוח (סעיפים 21 ו-23 לפסק הדין שם). </w:t>
      </w:r>
    </w:p>
    <w:p w:rsidR="00943DD7" w:rsidRDefault="00943DD7" w:rsidP="008B674E">
      <w:pPr>
        <w:spacing w:after="120" w:line="360" w:lineRule="auto"/>
        <w:ind w:left="720" w:hanging="720"/>
        <w:jc w:val="both"/>
        <w:rPr>
          <w:rFonts w:ascii="David" w:hAnsi="David"/>
          <w:rtl/>
        </w:rPr>
      </w:pPr>
      <w:r>
        <w:rPr>
          <w:rFonts w:ascii="David" w:hAnsi="David"/>
          <w:rtl/>
        </w:rPr>
        <w:lastRenderedPageBreak/>
        <w:tab/>
        <w:t xml:space="preserve">הן הנתבע והן המנוח העידו, כי </w:t>
      </w:r>
      <w:r w:rsidR="008B674E">
        <w:rPr>
          <w:rFonts w:ascii="David" w:hAnsi="David" w:hint="cs"/>
          <w:rtl/>
        </w:rPr>
        <w:t>מ'</w:t>
      </w:r>
      <w:r>
        <w:rPr>
          <w:rFonts w:ascii="David" w:hAnsi="David"/>
          <w:rtl/>
        </w:rPr>
        <w:t xml:space="preserve"> נתן את המתנה למנוח, משיקולים משפחתיים (סעיפים 21 ו-23), אך הדבר אינו שולל לכאורה את העובדה הנובעת מפסק הדין בהליך במחוזי, כי עסקין בשטח מתנה מסויים.</w:t>
      </w:r>
    </w:p>
    <w:p w:rsidR="00943DD7" w:rsidRDefault="00943DD7" w:rsidP="00014FF4">
      <w:pPr>
        <w:spacing w:after="120" w:line="360" w:lineRule="auto"/>
        <w:ind w:left="720" w:hanging="720"/>
        <w:jc w:val="both"/>
        <w:rPr>
          <w:rFonts w:ascii="David" w:hAnsi="David"/>
          <w:rtl/>
        </w:rPr>
      </w:pPr>
      <w:r>
        <w:rPr>
          <w:rFonts w:ascii="David" w:hAnsi="David"/>
          <w:rtl/>
        </w:rPr>
        <w:t>26.</w:t>
      </w:r>
      <w:r>
        <w:rPr>
          <w:rFonts w:ascii="David" w:hAnsi="David"/>
          <w:rtl/>
        </w:rPr>
        <w:tab/>
      </w:r>
      <w:r>
        <w:rPr>
          <w:rFonts w:ascii="David" w:hAnsi="David"/>
          <w:b/>
          <w:bCs/>
          <w:rtl/>
        </w:rPr>
        <w:t>אם נסכם את הדברים עד כאן – עולה מפסק הדין בהליך במחוזי, ששטח המתנה, הוא שהיה במחלוקת בין הצדדים להליך שם, והינו שטח מסויים במקרקעין</w:t>
      </w:r>
      <w:r>
        <w:rPr>
          <w:rFonts w:ascii="David" w:hAnsi="David"/>
          <w:rtl/>
        </w:rPr>
        <w:t xml:space="preserve">. </w:t>
      </w:r>
    </w:p>
    <w:p w:rsidR="00943DD7" w:rsidRDefault="00943DD7" w:rsidP="00014FF4">
      <w:pPr>
        <w:spacing w:after="120" w:line="360" w:lineRule="auto"/>
        <w:ind w:left="720" w:hanging="720"/>
        <w:jc w:val="both"/>
        <w:rPr>
          <w:rFonts w:ascii="David" w:hAnsi="David"/>
          <w:rtl/>
        </w:rPr>
      </w:pPr>
      <w:r>
        <w:rPr>
          <w:rFonts w:ascii="David" w:hAnsi="David"/>
          <w:rtl/>
        </w:rPr>
        <w:t>27.</w:t>
      </w:r>
      <w:r>
        <w:rPr>
          <w:rFonts w:ascii="David" w:hAnsi="David"/>
          <w:rtl/>
        </w:rPr>
        <w:tab/>
      </w:r>
      <w:r>
        <w:rPr>
          <w:rFonts w:ascii="David" w:hAnsi="David"/>
          <w:u w:val="single"/>
          <w:rtl/>
        </w:rPr>
        <w:t>במסגרת פסק הדין הגיע בית המשפט המחוזי שם למסקנה כי</w:t>
      </w:r>
      <w:r>
        <w:rPr>
          <w:rFonts w:ascii="David" w:hAnsi="David"/>
          <w:rtl/>
        </w:rPr>
        <w:t xml:space="preserve"> –</w:t>
      </w:r>
    </w:p>
    <w:p w:rsidR="00943DD7" w:rsidRDefault="00943DD7" w:rsidP="00014FF4">
      <w:pPr>
        <w:spacing w:after="120" w:line="360" w:lineRule="auto"/>
        <w:ind w:left="720"/>
        <w:jc w:val="both"/>
        <w:rPr>
          <w:rFonts w:ascii="David" w:hAnsi="David"/>
          <w:rtl/>
        </w:rPr>
      </w:pPr>
      <w:r>
        <w:rPr>
          <w:rFonts w:ascii="David" w:hAnsi="David"/>
          <w:rtl/>
        </w:rPr>
        <w:t xml:space="preserve"> </w:t>
      </w:r>
      <w:r>
        <w:rPr>
          <w:rFonts w:ascii="David" w:hAnsi="David"/>
          <w:b/>
          <w:bCs/>
          <w:rtl/>
        </w:rPr>
        <w:t xml:space="preserve">"הפועל היוצא מקביעתי שלעיל הוא, שהזכויות ב- 1,400 מ"ר בחלקה 16  </w:t>
      </w:r>
      <w:r>
        <w:rPr>
          <w:rFonts w:ascii="David" w:hAnsi="David"/>
          <w:rtl/>
        </w:rPr>
        <w:t>(שטח המתנה – ח"ש)</w:t>
      </w:r>
      <w:r>
        <w:rPr>
          <w:rFonts w:ascii="David" w:hAnsi="David"/>
          <w:b/>
          <w:bCs/>
          <w:rtl/>
        </w:rPr>
        <w:t xml:space="preserve">, אמורות היו להירשם על שם התובעת, ולא על שמו של הנתבע מס' 1" </w:t>
      </w:r>
      <w:r>
        <w:rPr>
          <w:rFonts w:ascii="David" w:hAnsi="David"/>
          <w:rtl/>
        </w:rPr>
        <w:t>(סעיף 29).</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u w:val="single"/>
          <w:rtl/>
        </w:rPr>
        <w:t>לכן</w:t>
      </w:r>
      <w:r>
        <w:rPr>
          <w:rFonts w:ascii="David" w:hAnsi="David"/>
          <w:rtl/>
        </w:rPr>
        <w:t>:</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b/>
          <w:bCs/>
          <w:rtl/>
        </w:rPr>
        <w:t xml:space="preserve">"הנני קובע, כי הזכויות שנרכשו בחלקה 16, נרכשו עבור התובעת, אך נרשמו שלא כדין על שם הנתבע מס' 1. על כן, תביעת התובעת בדין יסודה, ולהלן יינתן צו לתיקון הרישום בספר המקרקעין" </w:t>
      </w:r>
      <w:r>
        <w:rPr>
          <w:rFonts w:ascii="David" w:hAnsi="David"/>
          <w:rtl/>
        </w:rPr>
        <w:t>(סעיף 37).</w:t>
      </w:r>
    </w:p>
    <w:p w:rsidR="00943DD7" w:rsidRDefault="00943DD7" w:rsidP="00014FF4">
      <w:pPr>
        <w:spacing w:after="120" w:line="360" w:lineRule="auto"/>
        <w:ind w:left="720" w:hanging="720"/>
        <w:jc w:val="both"/>
        <w:rPr>
          <w:rFonts w:ascii="David" w:hAnsi="David"/>
          <w:rtl/>
        </w:rPr>
      </w:pPr>
      <w:r>
        <w:rPr>
          <w:rFonts w:ascii="David" w:hAnsi="David"/>
          <w:b/>
          <w:bCs/>
          <w:rtl/>
        </w:rPr>
        <w:tab/>
      </w:r>
      <w:r>
        <w:rPr>
          <w:rFonts w:ascii="David" w:hAnsi="David"/>
          <w:u w:val="single"/>
          <w:rtl/>
        </w:rPr>
        <w:t>משכך</w:t>
      </w:r>
      <w:r>
        <w:rPr>
          <w:rFonts w:ascii="David" w:hAnsi="David"/>
          <w:rtl/>
        </w:rPr>
        <w:t>:</w:t>
      </w:r>
    </w:p>
    <w:p w:rsidR="00943DD7" w:rsidRDefault="00943DD7" w:rsidP="008B674E">
      <w:pPr>
        <w:spacing w:after="120" w:line="360" w:lineRule="auto"/>
        <w:ind w:left="1440" w:hanging="720"/>
        <w:jc w:val="both"/>
        <w:rPr>
          <w:rFonts w:ascii="David" w:hAnsi="David"/>
          <w:b/>
          <w:bCs/>
          <w:rtl/>
        </w:rPr>
      </w:pPr>
      <w:r>
        <w:rPr>
          <w:rFonts w:ascii="David" w:hAnsi="David"/>
          <w:rtl/>
        </w:rPr>
        <w:t>(א)</w:t>
      </w:r>
      <w:r>
        <w:rPr>
          <w:rFonts w:ascii="David" w:hAnsi="David"/>
          <w:rtl/>
        </w:rPr>
        <w:tab/>
      </w:r>
      <w:r>
        <w:rPr>
          <w:rFonts w:ascii="David" w:hAnsi="David"/>
          <w:b/>
          <w:bCs/>
          <w:rtl/>
        </w:rPr>
        <w:t xml:space="preserve">הנני מקבל את תביעת התובעת, והנני מורה לבטל את רישומו של הנתבע מס' 1, מר </w:t>
      </w:r>
      <w:r w:rsidR="008B674E">
        <w:rPr>
          <w:rFonts w:ascii="David" w:hAnsi="David" w:hint="cs"/>
          <w:b/>
          <w:bCs/>
          <w:rtl/>
        </w:rPr>
        <w:t>מ. ע. ח</w:t>
      </w:r>
      <w:r>
        <w:rPr>
          <w:rFonts w:ascii="David" w:hAnsi="David"/>
          <w:b/>
          <w:bCs/>
          <w:rtl/>
        </w:rPr>
        <w:t xml:space="preserve"> ת"ז </w:t>
      </w:r>
      <w:r>
        <w:rPr>
          <w:rFonts w:ascii="David" w:hAnsi="David"/>
          <w:b/>
          <w:bCs/>
        </w:rPr>
        <w:t>xxxxxxx</w:t>
      </w:r>
      <w:r>
        <w:rPr>
          <w:rFonts w:ascii="David" w:hAnsi="David"/>
          <w:b/>
          <w:bCs/>
          <w:rtl/>
        </w:rPr>
        <w:t xml:space="preserve">, כבעלים של 1479/27196 חלקים במקרקעין הידועים כחלקה </w:t>
      </w:r>
      <w:r w:rsidR="008B674E">
        <w:rPr>
          <w:rFonts w:ascii="David" w:hAnsi="David" w:hint="cs"/>
          <w:b/>
          <w:bCs/>
          <w:rtl/>
        </w:rPr>
        <w:t>00</w:t>
      </w:r>
      <w:r>
        <w:rPr>
          <w:rFonts w:ascii="David" w:hAnsi="David"/>
          <w:b/>
          <w:bCs/>
          <w:rtl/>
        </w:rPr>
        <w:t xml:space="preserve"> בגוש </w:t>
      </w:r>
      <w:r w:rsidR="008B674E">
        <w:rPr>
          <w:rFonts w:ascii="David" w:hAnsi="David" w:hint="cs"/>
          <w:b/>
          <w:bCs/>
          <w:rtl/>
        </w:rPr>
        <w:t>00000</w:t>
      </w:r>
      <w:r>
        <w:rPr>
          <w:rFonts w:ascii="David" w:hAnsi="David"/>
          <w:b/>
          <w:bCs/>
          <w:rtl/>
        </w:rPr>
        <w:t xml:space="preserve">, לפי שטר מס' 001 - </w:t>
      </w:r>
      <w:r w:rsidR="008B674E">
        <w:rPr>
          <w:rFonts w:ascii="David" w:hAnsi="David" w:hint="cs"/>
          <w:b/>
          <w:bCs/>
          <w:rtl/>
        </w:rPr>
        <w:t>00000</w:t>
      </w:r>
      <w:r>
        <w:rPr>
          <w:rFonts w:ascii="David" w:hAnsi="David"/>
          <w:b/>
          <w:bCs/>
          <w:rtl/>
        </w:rPr>
        <w:t xml:space="preserve"> מתאריך 2.12.1999 ("מכר").</w:t>
      </w:r>
    </w:p>
    <w:p w:rsidR="00943DD7" w:rsidRDefault="00943DD7" w:rsidP="008B674E">
      <w:pPr>
        <w:spacing w:after="120" w:line="360" w:lineRule="auto"/>
        <w:ind w:left="1440" w:hanging="720"/>
        <w:jc w:val="both"/>
        <w:rPr>
          <w:rFonts w:ascii="David" w:hAnsi="David"/>
          <w:b/>
          <w:bCs/>
          <w:rtl/>
        </w:rPr>
      </w:pPr>
      <w:r>
        <w:rPr>
          <w:rFonts w:ascii="David" w:hAnsi="David"/>
          <w:b/>
          <w:bCs/>
          <w:rtl/>
        </w:rPr>
        <w:t>(ב)</w:t>
      </w:r>
      <w:r>
        <w:rPr>
          <w:rFonts w:ascii="David" w:hAnsi="David"/>
          <w:b/>
          <w:bCs/>
          <w:rtl/>
        </w:rPr>
        <w:tab/>
        <w:t xml:space="preserve">הנני מורה לבטל את הערת האזהרה שנרשמה לטובת הנתבע מס' 4, מר </w:t>
      </w:r>
      <w:r w:rsidR="008B674E">
        <w:rPr>
          <w:rFonts w:ascii="David" w:hAnsi="David" w:hint="cs"/>
          <w:b/>
          <w:bCs/>
          <w:rtl/>
        </w:rPr>
        <w:t>ס. ע. ח</w:t>
      </w:r>
      <w:r>
        <w:rPr>
          <w:rFonts w:ascii="David" w:hAnsi="David"/>
          <w:b/>
          <w:bCs/>
          <w:rtl/>
        </w:rPr>
        <w:t xml:space="preserve">, בתאריך 23.12.2002 לפי שטר מס' </w:t>
      </w:r>
      <w:r w:rsidR="008B674E">
        <w:rPr>
          <w:rFonts w:ascii="David" w:hAnsi="David" w:hint="cs"/>
          <w:b/>
          <w:bCs/>
          <w:rtl/>
        </w:rPr>
        <w:t>00000</w:t>
      </w:r>
      <w:r>
        <w:rPr>
          <w:rFonts w:ascii="David" w:hAnsi="David"/>
          <w:b/>
          <w:bCs/>
          <w:rtl/>
        </w:rPr>
        <w:t>-0001.</w:t>
      </w:r>
    </w:p>
    <w:p w:rsidR="00943DD7" w:rsidRDefault="00943DD7" w:rsidP="008B674E">
      <w:pPr>
        <w:spacing w:after="120" w:line="360" w:lineRule="auto"/>
        <w:ind w:left="1440" w:hanging="720"/>
        <w:jc w:val="both"/>
        <w:rPr>
          <w:rFonts w:ascii="David" w:hAnsi="David"/>
          <w:b/>
          <w:bCs/>
          <w:rtl/>
        </w:rPr>
      </w:pPr>
      <w:r>
        <w:rPr>
          <w:rFonts w:ascii="David" w:hAnsi="David"/>
          <w:b/>
          <w:bCs/>
          <w:rtl/>
        </w:rPr>
        <w:t>(ג)</w:t>
      </w:r>
      <w:r>
        <w:rPr>
          <w:rFonts w:ascii="David" w:hAnsi="David"/>
          <w:b/>
          <w:bCs/>
          <w:rtl/>
        </w:rPr>
        <w:tab/>
        <w:t xml:space="preserve">הזכויות שתגרענה משמו של הנתבע מס' 1, על פי האמור בסעיף קטן (א) שלעיל, תרשמנה על שם התובעת, חברת ע.ב. בע"מ (ח"פ 1 – </w:t>
      </w:r>
      <w:r w:rsidR="008B674E">
        <w:rPr>
          <w:rFonts w:ascii="David" w:hAnsi="David" w:hint="cs"/>
          <w:b/>
          <w:bCs/>
          <w:rtl/>
        </w:rPr>
        <w:t>0000000</w:t>
      </w:r>
      <w:r>
        <w:rPr>
          <w:rFonts w:ascii="David" w:hAnsi="David"/>
          <w:b/>
          <w:bCs/>
          <w:rtl/>
        </w:rPr>
        <w:t xml:space="preserve"> – 51).</w:t>
      </w:r>
    </w:p>
    <w:p w:rsidR="00943DD7" w:rsidRDefault="00943DD7" w:rsidP="00014FF4">
      <w:pPr>
        <w:spacing w:after="120" w:line="360" w:lineRule="auto"/>
        <w:jc w:val="both"/>
        <w:rPr>
          <w:rFonts w:ascii="David" w:hAnsi="David"/>
          <w:rtl/>
        </w:rPr>
      </w:pPr>
      <w:r>
        <w:rPr>
          <w:rFonts w:ascii="David" w:hAnsi="David"/>
          <w:rtl/>
        </w:rPr>
        <w:t>28.</w:t>
      </w:r>
      <w:r>
        <w:rPr>
          <w:rFonts w:ascii="David" w:hAnsi="David"/>
          <w:rtl/>
        </w:rPr>
        <w:tab/>
      </w:r>
      <w:r>
        <w:rPr>
          <w:rFonts w:ascii="David" w:hAnsi="David"/>
          <w:u w:val="single"/>
          <w:rtl/>
        </w:rPr>
        <w:t>במילים אחרות עולה לכאורה מפסק הדין בהליך במחוזי כי</w:t>
      </w:r>
      <w:r>
        <w:rPr>
          <w:rFonts w:ascii="David" w:hAnsi="David"/>
          <w:rtl/>
        </w:rPr>
        <w:t>:</w:t>
      </w:r>
    </w:p>
    <w:p w:rsidR="00943DD7" w:rsidRDefault="00943DD7" w:rsidP="008B674E">
      <w:pPr>
        <w:spacing w:after="120" w:line="360" w:lineRule="auto"/>
        <w:jc w:val="both"/>
        <w:rPr>
          <w:rFonts w:ascii="David" w:hAnsi="David"/>
          <w:rtl/>
        </w:rPr>
      </w:pPr>
      <w:r>
        <w:rPr>
          <w:rFonts w:ascii="David" w:hAnsi="David"/>
          <w:rtl/>
        </w:rPr>
        <w:tab/>
        <w:t>א.</w:t>
      </w:r>
      <w:r>
        <w:rPr>
          <w:rFonts w:ascii="David" w:hAnsi="David"/>
          <w:rtl/>
        </w:rPr>
        <w:tab/>
      </w:r>
      <w:r w:rsidR="008B674E">
        <w:rPr>
          <w:rFonts w:ascii="David" w:hAnsi="David" w:hint="cs"/>
          <w:rtl/>
        </w:rPr>
        <w:t>מ'</w:t>
      </w:r>
      <w:r>
        <w:rPr>
          <w:rFonts w:ascii="David" w:hAnsi="David"/>
          <w:rtl/>
        </w:rPr>
        <w:t xml:space="preserve"> נתן למנוח שטח מתנה מסויים, שכלל לא היה בבעלותו;</w:t>
      </w:r>
    </w:p>
    <w:p w:rsidR="00943DD7" w:rsidRDefault="00943DD7" w:rsidP="00014FF4">
      <w:pPr>
        <w:spacing w:after="120" w:line="360" w:lineRule="auto"/>
        <w:jc w:val="both"/>
        <w:rPr>
          <w:rFonts w:ascii="David" w:hAnsi="David"/>
          <w:rtl/>
        </w:rPr>
      </w:pPr>
      <w:r>
        <w:rPr>
          <w:rFonts w:ascii="David" w:hAnsi="David"/>
          <w:rtl/>
        </w:rPr>
        <w:tab/>
        <w:t>ב.</w:t>
      </w:r>
      <w:r>
        <w:rPr>
          <w:rFonts w:ascii="David" w:hAnsi="David"/>
          <w:rtl/>
        </w:rPr>
        <w:tab/>
        <w:t>לכן לכאורה המתנה אינה תקפה מעיקרא;</w:t>
      </w:r>
    </w:p>
    <w:p w:rsidR="00943DD7" w:rsidRDefault="00943DD7" w:rsidP="00014FF4">
      <w:pPr>
        <w:spacing w:after="120" w:line="360" w:lineRule="auto"/>
        <w:ind w:left="1440" w:hanging="720"/>
        <w:jc w:val="both"/>
        <w:rPr>
          <w:rFonts w:ascii="David" w:hAnsi="David"/>
          <w:rtl/>
        </w:rPr>
      </w:pPr>
      <w:r>
        <w:rPr>
          <w:rFonts w:ascii="David" w:hAnsi="David"/>
          <w:rtl/>
        </w:rPr>
        <w:t>ג.</w:t>
      </w:r>
      <w:r>
        <w:rPr>
          <w:rFonts w:ascii="David" w:hAnsi="David"/>
          <w:rtl/>
        </w:rPr>
        <w:tab/>
        <w:t xml:space="preserve">קביעה שאף הובילה למחיקת הערת האזהרה שנרשמה לטובתו של המנוח בעקבות עסקת המתנה, ללא כל מחאה מצידו של המנוח ו/או של יורשיו אחריו לאורך השנים. </w:t>
      </w:r>
      <w:r>
        <w:rPr>
          <w:rFonts w:ascii="David" w:hAnsi="David"/>
          <w:rtl/>
        </w:rPr>
        <w:tab/>
        <w:t xml:space="preserve"> </w:t>
      </w:r>
    </w:p>
    <w:p w:rsidR="00943DD7" w:rsidRDefault="00943DD7" w:rsidP="009E6D7B">
      <w:pPr>
        <w:spacing w:after="120" w:line="360" w:lineRule="auto"/>
        <w:ind w:left="720" w:hanging="720"/>
        <w:jc w:val="both"/>
        <w:rPr>
          <w:rFonts w:ascii="David" w:hAnsi="David"/>
          <w:rtl/>
        </w:rPr>
      </w:pPr>
      <w:r>
        <w:rPr>
          <w:rFonts w:ascii="David" w:hAnsi="David"/>
          <w:rtl/>
        </w:rPr>
        <w:t>29.</w:t>
      </w:r>
      <w:r>
        <w:rPr>
          <w:rFonts w:ascii="David" w:hAnsi="David"/>
          <w:rtl/>
        </w:rPr>
        <w:tab/>
        <w:t xml:space="preserve">פסק הדין בהליך במחוזי הוא חלוט, שכן ערעור שהגישו </w:t>
      </w:r>
      <w:r w:rsidR="009E6D7B">
        <w:rPr>
          <w:rFonts w:ascii="David" w:hAnsi="David" w:hint="cs"/>
          <w:rtl/>
        </w:rPr>
        <w:t>מ'</w:t>
      </w:r>
      <w:r>
        <w:rPr>
          <w:rFonts w:ascii="David" w:hAnsi="David"/>
          <w:rtl/>
        </w:rPr>
        <w:t xml:space="preserve"> והמנוח על פסק הדין נמחק על ידם (ע"א </w:t>
      </w:r>
      <w:r w:rsidR="009E6D7B">
        <w:rPr>
          <w:rFonts w:ascii="David" w:hAnsi="David" w:hint="cs"/>
          <w:rtl/>
        </w:rPr>
        <w:t>0000</w:t>
      </w:r>
      <w:r>
        <w:rPr>
          <w:rFonts w:ascii="David" w:hAnsi="David"/>
          <w:rtl/>
        </w:rPr>
        <w:t xml:space="preserve">/12). </w:t>
      </w:r>
    </w:p>
    <w:p w:rsidR="00943DD7" w:rsidRDefault="00943DD7" w:rsidP="00014FF4">
      <w:pPr>
        <w:spacing w:after="120" w:line="360" w:lineRule="auto"/>
        <w:ind w:left="720" w:hanging="720"/>
        <w:jc w:val="both"/>
        <w:rPr>
          <w:rFonts w:ascii="David" w:hAnsi="David"/>
          <w:rtl/>
        </w:rPr>
      </w:pPr>
      <w:r>
        <w:rPr>
          <w:rFonts w:ascii="David" w:hAnsi="David"/>
          <w:rtl/>
        </w:rPr>
        <w:lastRenderedPageBreak/>
        <w:t>30.</w:t>
      </w:r>
      <w:r>
        <w:rPr>
          <w:rFonts w:ascii="David" w:hAnsi="David"/>
          <w:rtl/>
        </w:rPr>
        <w:tab/>
      </w:r>
      <w:r>
        <w:rPr>
          <w:rFonts w:ascii="David" w:hAnsi="David"/>
          <w:b/>
          <w:bCs/>
          <w:rtl/>
        </w:rPr>
        <w:t>במצב דברים זה, לכאורה נימוקה של השופטת קמא לדחיית הבקשה, המפורט בסעיף 13(א) לעיל בדין יסודו, ומשמיט, ולמצער מחליש משמעותית,  את עילת התביעה בתביעה העיקרית, הנסמכת על עסקת המתנה</w:t>
      </w:r>
      <w:r>
        <w:rPr>
          <w:rFonts w:ascii="David" w:hAnsi="David"/>
          <w:rtl/>
        </w:rPr>
        <w:t xml:space="preserve">. </w:t>
      </w:r>
    </w:p>
    <w:p w:rsidR="00943DD7" w:rsidRDefault="00943DD7" w:rsidP="009E6D7B">
      <w:pPr>
        <w:spacing w:after="120" w:line="360" w:lineRule="auto"/>
        <w:ind w:left="720" w:hanging="720"/>
        <w:jc w:val="both"/>
        <w:rPr>
          <w:rFonts w:ascii="David" w:hAnsi="David"/>
          <w:rtl/>
        </w:rPr>
      </w:pPr>
      <w:r>
        <w:rPr>
          <w:rFonts w:ascii="David" w:hAnsi="David"/>
          <w:rtl/>
        </w:rPr>
        <w:t>31.</w:t>
      </w:r>
      <w:r>
        <w:rPr>
          <w:rFonts w:ascii="David" w:hAnsi="David"/>
          <w:rtl/>
        </w:rPr>
        <w:tab/>
        <w:t xml:space="preserve">בנדון גם  נציין כי טענת המבקשים להיות המתנה בחלק בלתי מסויים בחלקתו של </w:t>
      </w:r>
      <w:r w:rsidR="009E6D7B">
        <w:rPr>
          <w:rFonts w:ascii="David" w:hAnsi="David" w:hint="cs"/>
          <w:rtl/>
        </w:rPr>
        <w:t>מ'</w:t>
      </w:r>
      <w:r>
        <w:rPr>
          <w:rFonts w:ascii="David" w:hAnsi="David"/>
          <w:rtl/>
        </w:rPr>
        <w:t xml:space="preserve"> לכאורה "חלשה" משהו, </w:t>
      </w:r>
      <w:r>
        <w:rPr>
          <w:rFonts w:ascii="David" w:hAnsi="David"/>
          <w:b/>
          <w:bCs/>
          <w:u w:val="single"/>
          <w:rtl/>
        </w:rPr>
        <w:t>לנוכח חוסר המעש ברישום המתנה עד כה</w:t>
      </w:r>
      <w:r>
        <w:rPr>
          <w:rFonts w:ascii="David" w:hAnsi="David"/>
          <w:rtl/>
        </w:rPr>
        <w:t xml:space="preserve">. </w:t>
      </w:r>
      <w:r>
        <w:rPr>
          <w:rFonts w:ascii="David" w:hAnsi="David"/>
          <w:rtl/>
        </w:rPr>
        <w:tab/>
      </w:r>
    </w:p>
    <w:p w:rsidR="00943DD7" w:rsidRDefault="00943DD7" w:rsidP="00014FF4">
      <w:pPr>
        <w:spacing w:after="120" w:line="360" w:lineRule="auto"/>
        <w:ind w:left="720" w:hanging="720"/>
        <w:jc w:val="both"/>
        <w:rPr>
          <w:rFonts w:ascii="David" w:hAnsi="David"/>
          <w:rtl/>
        </w:rPr>
      </w:pPr>
      <w:r>
        <w:rPr>
          <w:rFonts w:ascii="David" w:hAnsi="David"/>
          <w:rtl/>
        </w:rPr>
        <w:tab/>
        <w:t xml:space="preserve">בפסיקה נקבע כי חוסר מעש של מי מהצדדים בביצוע התחייבות ליתן מתנה (להלן: </w:t>
      </w:r>
      <w:r>
        <w:rPr>
          <w:rFonts w:ascii="David" w:hAnsi="David"/>
          <w:b/>
          <w:bCs/>
          <w:rtl/>
        </w:rPr>
        <w:t>"ההתחייבות"</w:t>
      </w:r>
      <w:r>
        <w:rPr>
          <w:rFonts w:ascii="David" w:hAnsi="David"/>
          <w:rtl/>
        </w:rPr>
        <w:t>) במשך שנים ארוכות אינו דבר של מה בכך. זאת כיוון שהתחייבות שלא נקבע זמן לביצועה, יש לקיים תוך זמן סביר (סעיף 41 לחוק החוזים (חלק כללי), תשל"ג-1973). יש בחוסר מעש זה בכדי ללמד על ויתור על הזכות לקבל מתנה, או על ביטול ההתחייבות בהסכמה או מכללא ע"י התנהגות מצד נותן המתנה ומקבל המתנה.</w:t>
      </w:r>
    </w:p>
    <w:p w:rsidR="00943DD7" w:rsidRDefault="00943DD7" w:rsidP="00014FF4">
      <w:pPr>
        <w:spacing w:after="120" w:line="360" w:lineRule="auto"/>
        <w:ind w:left="720" w:hanging="720"/>
        <w:jc w:val="both"/>
        <w:rPr>
          <w:rFonts w:ascii="David" w:hAnsi="David"/>
          <w:rtl/>
        </w:rPr>
      </w:pPr>
      <w:r>
        <w:rPr>
          <w:rFonts w:ascii="David" w:hAnsi="David"/>
          <w:rtl/>
        </w:rPr>
        <w:tab/>
        <w:t>מסקנה זו מתחזקת אם בוצעו באותה מתנה בגינה ניתנה ההתחייבות, פעולות משפטיות אחרות ע"י נותן המתנה, ללא כל התנגדות ו/או צעד של ביצוע או מימוש ההתחייבות מצד מקבל המתנה. במצב כזה נאמר, כי נותן המתנה ראה את ההתחייבות כאינה קיימת עוד.</w:t>
      </w:r>
    </w:p>
    <w:p w:rsidR="00943DD7" w:rsidRDefault="00943DD7" w:rsidP="00014FF4">
      <w:pPr>
        <w:spacing w:after="120" w:line="360" w:lineRule="auto"/>
        <w:ind w:left="720" w:hanging="720"/>
        <w:jc w:val="both"/>
        <w:rPr>
          <w:rFonts w:ascii="David" w:hAnsi="David"/>
          <w:rtl/>
        </w:rPr>
      </w:pPr>
      <w:r>
        <w:rPr>
          <w:rFonts w:ascii="David" w:hAnsi="David"/>
          <w:rtl/>
        </w:rPr>
        <w:tab/>
        <w:t>לא ניתן לייחס את חוסר המעש במשך שנים, לקרבה משפחתית שבין נותן ההתחייבות למקבלה.</w:t>
      </w:r>
    </w:p>
    <w:p w:rsidR="00943DD7" w:rsidRDefault="00943DD7" w:rsidP="00014FF4">
      <w:pPr>
        <w:spacing w:after="120" w:line="360" w:lineRule="auto"/>
        <w:ind w:left="720" w:hanging="720"/>
        <w:jc w:val="both"/>
        <w:rPr>
          <w:rFonts w:ascii="David" w:hAnsi="David"/>
          <w:rtl/>
        </w:rPr>
      </w:pPr>
      <w:r>
        <w:rPr>
          <w:rFonts w:ascii="David" w:hAnsi="David"/>
          <w:rtl/>
        </w:rPr>
        <w:tab/>
        <w:t xml:space="preserve">(בנדון ראו דברי בית המשפט בע"א 1330/93 </w:t>
      </w:r>
      <w:r>
        <w:rPr>
          <w:rFonts w:ascii="David" w:hAnsi="David"/>
          <w:b/>
          <w:bCs/>
          <w:rtl/>
        </w:rPr>
        <w:t>אלבז ואח' נ' אלבז</w:t>
      </w:r>
      <w:r>
        <w:rPr>
          <w:rFonts w:ascii="David" w:hAnsi="David"/>
          <w:rtl/>
        </w:rPr>
        <w:t xml:space="preserve"> (12.6.97) והאסמכתאות המוזכרות שם).  </w:t>
      </w:r>
    </w:p>
    <w:p w:rsidR="00943DD7" w:rsidRDefault="00943DD7" w:rsidP="0023685B">
      <w:pPr>
        <w:spacing w:after="120" w:line="360" w:lineRule="auto"/>
        <w:ind w:left="720" w:hanging="720"/>
        <w:jc w:val="both"/>
        <w:rPr>
          <w:rFonts w:ascii="David" w:hAnsi="David"/>
          <w:b/>
          <w:bCs/>
          <w:rtl/>
        </w:rPr>
      </w:pPr>
      <w:r>
        <w:rPr>
          <w:rFonts w:ascii="David" w:hAnsi="David"/>
          <w:rtl/>
        </w:rPr>
        <w:tab/>
      </w:r>
      <w:r>
        <w:rPr>
          <w:rFonts w:ascii="David" w:hAnsi="David"/>
          <w:b/>
          <w:bCs/>
          <w:rtl/>
        </w:rPr>
        <w:t xml:space="preserve">חוסר המעש האמור מלמד לכאורה, כי הן המנוח והן </w:t>
      </w:r>
      <w:r w:rsidR="0023685B">
        <w:rPr>
          <w:rFonts w:ascii="David" w:hAnsi="David" w:hint="cs"/>
          <w:b/>
          <w:bCs/>
          <w:rtl/>
        </w:rPr>
        <w:t>מ'</w:t>
      </w:r>
      <w:r>
        <w:rPr>
          <w:rFonts w:ascii="David" w:hAnsi="David"/>
          <w:b/>
          <w:bCs/>
          <w:rtl/>
        </w:rPr>
        <w:t xml:space="preserve"> ראו בשטח המתנה כמסויים, שבסופו של יום נקבע שאינו בבעלות </w:t>
      </w:r>
      <w:r w:rsidR="0023685B">
        <w:rPr>
          <w:rFonts w:ascii="David" w:hAnsi="David" w:hint="cs"/>
          <w:b/>
          <w:bCs/>
          <w:rtl/>
        </w:rPr>
        <w:t>מ'</w:t>
      </w:r>
      <w:r>
        <w:rPr>
          <w:rFonts w:ascii="David" w:hAnsi="David"/>
          <w:b/>
          <w:bCs/>
          <w:rtl/>
        </w:rPr>
        <w:t xml:space="preserve">. עם קביעה זאת התפוגגה לכאורה ה"מתנה". זו לכאורה גם הסיבה שהמנוח השלים עם מחיקת הערת האזהרה שנרשמה לטובתו עם עסקת המתנה, ולא נקט כל צעד בימי חייו למימוש המתנה על שטח אחר, לא מסויים, מחלקיו של </w:t>
      </w:r>
      <w:r w:rsidR="0023685B">
        <w:rPr>
          <w:rFonts w:ascii="David" w:hAnsi="David" w:hint="cs"/>
          <w:b/>
          <w:bCs/>
          <w:rtl/>
        </w:rPr>
        <w:t>מ'</w:t>
      </w:r>
      <w:r>
        <w:rPr>
          <w:rFonts w:ascii="David" w:hAnsi="David"/>
          <w:b/>
          <w:bCs/>
          <w:rtl/>
        </w:rPr>
        <w:t xml:space="preserve"> במקרקעין.  </w:t>
      </w:r>
    </w:p>
    <w:p w:rsidR="00943DD7" w:rsidRDefault="00943DD7" w:rsidP="00014FF4">
      <w:pPr>
        <w:spacing w:after="120" w:line="360" w:lineRule="auto"/>
        <w:ind w:left="720" w:hanging="720"/>
        <w:rPr>
          <w:rFonts w:ascii="David" w:hAnsi="David"/>
          <w:rtl/>
        </w:rPr>
      </w:pPr>
      <w:r>
        <w:rPr>
          <w:rFonts w:ascii="David" w:hAnsi="David"/>
          <w:rtl/>
        </w:rPr>
        <w:tab/>
        <w:t xml:space="preserve">בכל אופן ובנסיבות דנן, חוסר המעש במשך שנים ארוכות ברישום המתנה, מלמד לכאורה על רעיעות עילת התביעה בתביעה העיקרית, כקביעת השופט קמא בחלטה קמא. </w:t>
      </w:r>
    </w:p>
    <w:p w:rsidR="00943DD7" w:rsidRDefault="00943DD7" w:rsidP="0023685B">
      <w:pPr>
        <w:spacing w:after="120" w:line="360" w:lineRule="auto"/>
        <w:ind w:left="720" w:hanging="720"/>
        <w:jc w:val="both"/>
        <w:rPr>
          <w:rFonts w:ascii="David" w:hAnsi="David"/>
          <w:rtl/>
        </w:rPr>
      </w:pPr>
      <w:r>
        <w:rPr>
          <w:rFonts w:ascii="David" w:hAnsi="David"/>
          <w:rtl/>
        </w:rPr>
        <w:t>32.</w:t>
      </w:r>
      <w:r>
        <w:rPr>
          <w:rFonts w:ascii="David" w:hAnsi="David"/>
          <w:rtl/>
        </w:rPr>
        <w:tab/>
        <w:t xml:space="preserve">לסיום נקודה זאת ראוי לציין, את שציינו המשיבים בתגובתם, כי שטח המתנה המסויים, מגרש </w:t>
      </w:r>
      <w:r w:rsidR="0023685B">
        <w:rPr>
          <w:rFonts w:ascii="David" w:hAnsi="David" w:hint="cs"/>
          <w:rtl/>
        </w:rPr>
        <w:t>00</w:t>
      </w:r>
      <w:r>
        <w:rPr>
          <w:rFonts w:ascii="David" w:hAnsi="David"/>
          <w:rtl/>
        </w:rPr>
        <w:t>/5, נרכש בסופו של יום על ידי אחד המבקשים, כמצויין בתשובה שהגישו המבקשים לבית משפט קמא ביום 19.7.2023.</w:t>
      </w:r>
    </w:p>
    <w:p w:rsidR="00943DD7" w:rsidRDefault="00943DD7" w:rsidP="0023685B">
      <w:pPr>
        <w:spacing w:after="120" w:line="360" w:lineRule="auto"/>
        <w:ind w:left="720"/>
        <w:jc w:val="both"/>
        <w:rPr>
          <w:rFonts w:ascii="David" w:hAnsi="David"/>
          <w:b/>
          <w:bCs/>
          <w:rtl/>
        </w:rPr>
      </w:pPr>
      <w:r>
        <w:rPr>
          <w:rFonts w:ascii="David" w:hAnsi="David"/>
          <w:rtl/>
        </w:rPr>
        <w:t xml:space="preserve">בתשובה זאת (סעיף 7) צויין, כי המבקש 4 רכש מחברת </w:t>
      </w:r>
      <w:r w:rsidR="0023685B">
        <w:rPr>
          <w:rFonts w:ascii="David" w:hAnsi="David" w:hint="cs"/>
          <w:rtl/>
        </w:rPr>
        <w:t>ע. ב</w:t>
      </w:r>
      <w:r>
        <w:rPr>
          <w:rFonts w:ascii="David" w:hAnsi="David"/>
          <w:rtl/>
        </w:rPr>
        <w:t xml:space="preserve"> (התובעת בהליך במחוזי) את שטח המתנה (שהועבר בעקבות פסק הדין שם לחברת </w:t>
      </w:r>
      <w:r w:rsidR="0023685B">
        <w:rPr>
          <w:rFonts w:ascii="David" w:hAnsi="David" w:hint="cs"/>
          <w:rtl/>
        </w:rPr>
        <w:t>ע. ב</w:t>
      </w:r>
      <w:r>
        <w:rPr>
          <w:rFonts w:ascii="David" w:hAnsi="David"/>
          <w:rtl/>
        </w:rPr>
        <w:t xml:space="preserve">), כדי למנוע מרוכש זר לקנות שטח אדמה זה הצמוד לביתו – </w:t>
      </w:r>
      <w:r>
        <w:rPr>
          <w:rFonts w:ascii="David" w:hAnsi="David"/>
          <w:b/>
          <w:bCs/>
          <w:rtl/>
        </w:rPr>
        <w:t xml:space="preserve">עובדה המלמדת לכאורה על היות שטח המתנה מסויים, ומיקומו ידוע. </w:t>
      </w:r>
    </w:p>
    <w:p w:rsidR="00943DD7" w:rsidRDefault="00943DD7" w:rsidP="00014FF4">
      <w:pPr>
        <w:spacing w:after="120" w:line="360" w:lineRule="auto"/>
        <w:jc w:val="both"/>
        <w:rPr>
          <w:rFonts w:ascii="David" w:hAnsi="David"/>
          <w:b/>
          <w:bCs/>
          <w:u w:val="single"/>
          <w:rtl/>
        </w:rPr>
      </w:pPr>
      <w:r>
        <w:rPr>
          <w:rFonts w:ascii="David" w:hAnsi="David"/>
          <w:b/>
          <w:bCs/>
          <w:u w:val="single"/>
          <w:rtl/>
        </w:rPr>
        <w:lastRenderedPageBreak/>
        <w:t>שאלה ב' – חלוקה דה פקטו של המקרקעין לאורך שנים, והמשמעות לכך לענין הבניה הנדונה</w:t>
      </w:r>
    </w:p>
    <w:p w:rsidR="00943DD7" w:rsidRDefault="00943DD7" w:rsidP="00014FF4">
      <w:pPr>
        <w:spacing w:after="120" w:line="360" w:lineRule="auto"/>
        <w:ind w:left="720" w:hanging="720"/>
        <w:jc w:val="both"/>
        <w:rPr>
          <w:rFonts w:ascii="David" w:hAnsi="David"/>
          <w:rtl/>
        </w:rPr>
      </w:pPr>
      <w:r>
        <w:rPr>
          <w:rFonts w:ascii="David" w:hAnsi="David"/>
          <w:rtl/>
        </w:rPr>
        <w:t>33.</w:t>
      </w:r>
      <w:r>
        <w:rPr>
          <w:rFonts w:ascii="David" w:hAnsi="David"/>
          <w:rtl/>
        </w:rPr>
        <w:tab/>
        <w:t>אחת מטענות המשיבים בתגובתם היא, כי המקרקעין חולקו דה פקטו למגרשים, וכל בעלים רשום קיבל מגרש/ים מסויימים, בהם עשה כרצונו, לרבות בניה עליהם. מכוח חלוקה זאת בנו המבקשים, או חלקם, את בתיהם על המקרקעין.</w:t>
      </w:r>
    </w:p>
    <w:p w:rsidR="00943DD7" w:rsidRDefault="00943DD7" w:rsidP="0023685B">
      <w:pPr>
        <w:spacing w:after="120" w:line="360" w:lineRule="auto"/>
        <w:ind w:left="720" w:hanging="720"/>
        <w:jc w:val="both"/>
        <w:rPr>
          <w:rFonts w:ascii="David" w:hAnsi="David"/>
          <w:rtl/>
        </w:rPr>
      </w:pPr>
      <w:r>
        <w:rPr>
          <w:rFonts w:ascii="David" w:hAnsi="David"/>
          <w:rtl/>
        </w:rPr>
        <w:t>34.</w:t>
      </w:r>
      <w:r>
        <w:rPr>
          <w:rFonts w:ascii="David" w:hAnsi="David"/>
          <w:rtl/>
        </w:rPr>
        <w:tab/>
        <w:t xml:space="preserve">לטענת המשיבים בחלקם נפל, בין היתר, מגרש </w:t>
      </w:r>
      <w:r w:rsidR="0023685B">
        <w:rPr>
          <w:rFonts w:ascii="David" w:hAnsi="David" w:hint="cs"/>
          <w:rtl/>
        </w:rPr>
        <w:t>00</w:t>
      </w:r>
      <w:r>
        <w:rPr>
          <w:rFonts w:ascii="David" w:hAnsi="David"/>
          <w:rtl/>
        </w:rPr>
        <w:t>/3, ורק במסגרתו מבוצעת עבודת החפירה והבניה נשוא הבקשה.</w:t>
      </w:r>
    </w:p>
    <w:p w:rsidR="00943DD7" w:rsidRDefault="00943DD7" w:rsidP="00014FF4">
      <w:pPr>
        <w:spacing w:after="120" w:line="360" w:lineRule="auto"/>
        <w:ind w:left="720" w:hanging="720"/>
        <w:jc w:val="both"/>
        <w:rPr>
          <w:rFonts w:ascii="David" w:hAnsi="David"/>
          <w:rtl/>
        </w:rPr>
      </w:pPr>
      <w:r>
        <w:rPr>
          <w:rFonts w:ascii="David" w:hAnsi="David"/>
          <w:rtl/>
        </w:rPr>
        <w:t>35.</w:t>
      </w:r>
      <w:r>
        <w:rPr>
          <w:rFonts w:ascii="David" w:hAnsi="David"/>
          <w:rtl/>
        </w:rPr>
        <w:tab/>
      </w:r>
      <w:r>
        <w:rPr>
          <w:rFonts w:ascii="David" w:hAnsi="David"/>
          <w:u w:val="single"/>
          <w:rtl/>
        </w:rPr>
        <w:t>לכאורה ב"כ המבקשים הודה בחלוקה דה פקטו כאמור של המקרקעין בישיבת יום 19.7.2023 בבית משפט קמא (הדיון בבקשת הסעד הזמני), כשציין כדלקמן</w:t>
      </w:r>
      <w:r>
        <w:rPr>
          <w:rFonts w:ascii="David" w:hAnsi="David"/>
          <w:rtl/>
        </w:rPr>
        <w:t xml:space="preserve">: </w:t>
      </w:r>
    </w:p>
    <w:p w:rsidR="00943DD7" w:rsidRDefault="00943DD7" w:rsidP="0023685B">
      <w:pPr>
        <w:spacing w:after="120" w:line="360" w:lineRule="auto"/>
        <w:ind w:left="1440" w:right="567"/>
        <w:jc w:val="both"/>
        <w:rPr>
          <w:rFonts w:ascii="David" w:hAnsi="David"/>
          <w:rtl/>
        </w:rPr>
      </w:pPr>
      <w:r>
        <w:rPr>
          <w:rFonts w:ascii="David" w:hAnsi="David"/>
          <w:b/>
          <w:bCs/>
          <w:rtl/>
        </w:rPr>
        <w:t xml:space="preserve">"לשאלת ביהמ"ש, האם נספח ג' לתגובה שחברי מסר כעת לי ולביהמ"ש כשהם עם סימון בצבע מבטא את המצב בשטח כפי הנטען על ידי חברי, אני משיב שמגרשים </w:t>
      </w:r>
      <w:r w:rsidR="0023685B">
        <w:rPr>
          <w:rFonts w:ascii="David" w:hAnsi="David" w:hint="cs"/>
          <w:b/>
          <w:bCs/>
          <w:rtl/>
        </w:rPr>
        <w:t>00</w:t>
      </w:r>
      <w:r>
        <w:rPr>
          <w:rFonts w:ascii="David" w:hAnsi="David"/>
          <w:b/>
          <w:bCs/>
          <w:rtl/>
        </w:rPr>
        <w:t xml:space="preserve">/1 ו – </w:t>
      </w:r>
      <w:r w:rsidR="0023685B">
        <w:rPr>
          <w:rFonts w:ascii="David" w:hAnsi="David" w:hint="cs"/>
          <w:b/>
          <w:bCs/>
          <w:rtl/>
        </w:rPr>
        <w:t>00</w:t>
      </w:r>
      <w:r>
        <w:rPr>
          <w:rFonts w:ascii="David" w:hAnsi="David"/>
          <w:b/>
          <w:bCs/>
          <w:rtl/>
        </w:rPr>
        <w:t xml:space="preserve">/6 הם של המבקשים, מגרשים </w:t>
      </w:r>
      <w:r w:rsidR="0023685B">
        <w:rPr>
          <w:rFonts w:ascii="David" w:hAnsi="David" w:hint="cs"/>
          <w:b/>
          <w:bCs/>
          <w:rtl/>
        </w:rPr>
        <w:t>00</w:t>
      </w:r>
      <w:r>
        <w:rPr>
          <w:rFonts w:ascii="David" w:hAnsi="David"/>
          <w:b/>
          <w:bCs/>
          <w:rtl/>
        </w:rPr>
        <w:t xml:space="preserve">/3 ו – </w:t>
      </w:r>
      <w:r w:rsidR="0023685B">
        <w:rPr>
          <w:rFonts w:ascii="David" w:hAnsi="David" w:hint="cs"/>
          <w:b/>
          <w:bCs/>
          <w:rtl/>
        </w:rPr>
        <w:t>00</w:t>
      </w:r>
      <w:r>
        <w:rPr>
          <w:rFonts w:ascii="David" w:hAnsi="David"/>
          <w:b/>
          <w:bCs/>
          <w:rtl/>
        </w:rPr>
        <w:t xml:space="preserve">/8 הם של המשיבים, ומגרש </w:t>
      </w:r>
      <w:r w:rsidR="0023685B">
        <w:rPr>
          <w:rFonts w:ascii="David" w:hAnsi="David" w:hint="cs"/>
          <w:b/>
          <w:bCs/>
          <w:rtl/>
        </w:rPr>
        <w:t>00</w:t>
      </w:r>
      <w:r>
        <w:rPr>
          <w:rFonts w:ascii="David" w:hAnsi="David"/>
          <w:b/>
          <w:bCs/>
          <w:rtl/>
        </w:rPr>
        <w:t xml:space="preserve">/5 רשום על שם המבקשים ונשאר המתנה, לשאלת ביהמ"ש, איפה נמצא השטח של המתנה אני משיב שאלה זכויות במושע והעסקה כשנרקמה לא דובר על מגרש דובר על זכויות במושע ואין חלוקה מוסכמת וכל אחד שם בנה והחזיק בזכויות. לשאלת ביהמ"ש כיצד אם הזכויות הן במושע יש למבקשים זכות לעכב עבודות בחלקה שבמחלוקת, אני משיב שמבוצעות שם עבודות. אי אפשר לאכול את העוגה ולהשאיר אותה שלמה, כמו שאני טוען שזה זכויות שלי גם חברי יכול לטעון שזה זכויות של מרשו, ועדיין אין חלוקה של ביהמ"ש שקובעת שהשטח של מי מהצדדים. הבקשה היא להקפיא את המצב על כנו כדי לא ליצור עובדות בשטח, המשיב התחיל לעבוד על דעת עצמו. מדובר בחפירות מסיביות, זה חציבה של הר וזה לא בשטח קטנטן כפי שטענו המשיבים, זה חפירות שהגיעו קרוב לביתו של המבקש מס' 4, שנמצא במגרש </w:t>
      </w:r>
      <w:r w:rsidR="0023685B">
        <w:rPr>
          <w:rFonts w:ascii="David" w:hAnsi="David" w:hint="cs"/>
          <w:b/>
          <w:bCs/>
          <w:rtl/>
        </w:rPr>
        <w:t>00</w:t>
      </w:r>
      <w:r>
        <w:rPr>
          <w:rFonts w:ascii="David" w:hAnsi="David"/>
          <w:b/>
          <w:bCs/>
          <w:rtl/>
        </w:rPr>
        <w:t xml:space="preserve">/6" </w:t>
      </w:r>
      <w:r>
        <w:rPr>
          <w:rFonts w:ascii="David" w:hAnsi="David"/>
          <w:rtl/>
        </w:rPr>
        <w:t>(עמ' 2 לפרו' שו' 19-29).</w:t>
      </w:r>
    </w:p>
    <w:p w:rsidR="00943DD7" w:rsidRDefault="00943DD7" w:rsidP="00014FF4">
      <w:pPr>
        <w:spacing w:after="120" w:line="360" w:lineRule="auto"/>
        <w:ind w:left="720" w:hanging="720"/>
        <w:jc w:val="both"/>
        <w:rPr>
          <w:rFonts w:ascii="David" w:hAnsi="David"/>
          <w:rtl/>
        </w:rPr>
      </w:pPr>
      <w:r>
        <w:rPr>
          <w:rFonts w:ascii="David" w:hAnsi="David"/>
          <w:rtl/>
        </w:rPr>
        <w:t>36.</w:t>
      </w:r>
      <w:r>
        <w:rPr>
          <w:rFonts w:ascii="David" w:hAnsi="David"/>
          <w:rtl/>
        </w:rPr>
        <w:tab/>
        <w:t xml:space="preserve">גם מפסק הדין בהליך במחוזי עולה כי הייתה קיימת חלוקה דה פקטו של המקרקעין, ועמדנו על כך לעיל כשדנו בפסק הדין שם במסגרת שאלה א'. </w:t>
      </w:r>
    </w:p>
    <w:p w:rsidR="00943DD7" w:rsidRDefault="00943DD7" w:rsidP="00014FF4">
      <w:pPr>
        <w:spacing w:after="120" w:line="360" w:lineRule="auto"/>
        <w:ind w:left="720"/>
        <w:jc w:val="both"/>
        <w:rPr>
          <w:rFonts w:ascii="David" w:hAnsi="David"/>
          <w:b/>
          <w:bCs/>
          <w:rtl/>
        </w:rPr>
      </w:pPr>
      <w:r>
        <w:rPr>
          <w:rFonts w:ascii="David" w:hAnsi="David"/>
          <w:rtl/>
        </w:rPr>
        <w:t>במילים אחר</w:t>
      </w:r>
      <w:r w:rsidR="0023685B">
        <w:rPr>
          <w:rFonts w:ascii="David" w:hAnsi="David"/>
          <w:rtl/>
        </w:rPr>
        <w:t>ות הוכח לכאורה כי חלוקה דה פקטו</w:t>
      </w:r>
      <w:r>
        <w:rPr>
          <w:rFonts w:ascii="David" w:hAnsi="David"/>
          <w:rtl/>
        </w:rPr>
        <w:t>,</w:t>
      </w:r>
      <w:r w:rsidR="0023685B">
        <w:rPr>
          <w:rFonts w:ascii="David" w:hAnsi="David" w:hint="cs"/>
          <w:rtl/>
        </w:rPr>
        <w:t xml:space="preserve"> </w:t>
      </w:r>
      <w:r>
        <w:rPr>
          <w:rFonts w:ascii="David" w:hAnsi="David"/>
          <w:rtl/>
        </w:rPr>
        <w:t>למעשה, של המקרקעין, כך שכל בעל</w:t>
      </w:r>
      <w:r w:rsidR="0023685B">
        <w:rPr>
          <w:rFonts w:ascii="David" w:hAnsi="David" w:hint="cs"/>
          <w:rtl/>
        </w:rPr>
        <w:t>י</w:t>
      </w:r>
      <w:r>
        <w:rPr>
          <w:rFonts w:ascii="David" w:hAnsi="David"/>
          <w:rtl/>
        </w:rPr>
        <w:t xml:space="preserve">ם רשום מחזיק בלעדית במגרש/ים מוגדרים ומסויימים במקרקעין. בהתאם לחלוקה זאת אף נתנה הועדה המקומית היתרי בניה למבקשים, או מי מהם, לרבות למשיב 2, לבנות על המגרש/ים המיועד/ים להם (כעולה אף מחוות דעת המודד מטעם המשיבים, מר סמי חלבי, מיום 19.7.2023 להלן: </w:t>
      </w:r>
      <w:r>
        <w:rPr>
          <w:rFonts w:ascii="David" w:hAnsi="David"/>
          <w:b/>
          <w:bCs/>
          <w:rtl/>
        </w:rPr>
        <w:t>"המודד חלבי"</w:t>
      </w:r>
      <w:r>
        <w:rPr>
          <w:rFonts w:ascii="David" w:hAnsi="David"/>
          <w:rtl/>
        </w:rPr>
        <w:t xml:space="preserve">). </w:t>
      </w:r>
    </w:p>
    <w:p w:rsidR="00943DD7" w:rsidRDefault="0023685B" w:rsidP="0023685B">
      <w:pPr>
        <w:spacing w:after="120" w:line="360" w:lineRule="auto"/>
        <w:ind w:left="720" w:hanging="720"/>
        <w:jc w:val="both"/>
        <w:rPr>
          <w:rFonts w:ascii="David" w:hAnsi="David"/>
          <w:b/>
          <w:bCs/>
          <w:rtl/>
        </w:rPr>
      </w:pPr>
      <w:r>
        <w:rPr>
          <w:rFonts w:ascii="David" w:hAnsi="David"/>
          <w:rtl/>
        </w:rPr>
        <w:lastRenderedPageBreak/>
        <w:t>37.</w:t>
      </w:r>
      <w:r>
        <w:rPr>
          <w:rFonts w:ascii="David" w:hAnsi="David"/>
          <w:rtl/>
        </w:rPr>
        <w:tab/>
      </w:r>
      <w:r w:rsidR="00943DD7">
        <w:rPr>
          <w:rFonts w:ascii="David" w:hAnsi="David"/>
          <w:rtl/>
        </w:rPr>
        <w:t>ציין המודד חלבי ב</w:t>
      </w:r>
      <w:r>
        <w:rPr>
          <w:rFonts w:ascii="David" w:hAnsi="David"/>
          <w:rtl/>
        </w:rPr>
        <w:t>חוות דעתו, כי ההיתר שניתן ל</w:t>
      </w:r>
      <w:r>
        <w:rPr>
          <w:rFonts w:ascii="David" w:hAnsi="David" w:hint="cs"/>
          <w:rtl/>
        </w:rPr>
        <w:t>-ג'</w:t>
      </w:r>
      <w:r w:rsidR="00943DD7">
        <w:rPr>
          <w:rFonts w:ascii="David" w:hAnsi="David"/>
          <w:rtl/>
        </w:rPr>
        <w:t xml:space="preserve"> לבניה (נשוא הבקשה) נוגע אך למגרש </w:t>
      </w:r>
      <w:r>
        <w:rPr>
          <w:rFonts w:ascii="David" w:hAnsi="David" w:hint="cs"/>
          <w:rtl/>
        </w:rPr>
        <w:t>00</w:t>
      </w:r>
      <w:r w:rsidR="00943DD7">
        <w:rPr>
          <w:rFonts w:ascii="David" w:hAnsi="David"/>
          <w:rtl/>
        </w:rPr>
        <w:t xml:space="preserve">/3 שבחזקתם בהתאם לחלוקה המדוברת, בה אף הודה ב"כ המבקשים (ראו ציטוט לעיל). </w:t>
      </w:r>
      <w:r w:rsidR="00943DD7">
        <w:rPr>
          <w:rFonts w:ascii="David" w:hAnsi="David"/>
          <w:b/>
          <w:bCs/>
          <w:rtl/>
        </w:rPr>
        <w:t xml:space="preserve"> </w:t>
      </w:r>
      <w:r w:rsidR="00943DD7">
        <w:rPr>
          <w:rFonts w:ascii="David" w:hAnsi="David"/>
          <w:b/>
          <w:bCs/>
          <w:rtl/>
        </w:rPr>
        <w:tab/>
      </w:r>
    </w:p>
    <w:p w:rsidR="00943DD7" w:rsidRDefault="00943DD7" w:rsidP="0023685B">
      <w:pPr>
        <w:spacing w:after="120" w:line="360" w:lineRule="auto"/>
        <w:ind w:left="720" w:hanging="720"/>
        <w:jc w:val="both"/>
        <w:rPr>
          <w:rFonts w:ascii="David" w:hAnsi="David"/>
          <w:rtl/>
        </w:rPr>
      </w:pPr>
      <w:r>
        <w:rPr>
          <w:rFonts w:ascii="David" w:hAnsi="David"/>
          <w:b/>
          <w:bCs/>
          <w:rtl/>
        </w:rPr>
        <w:tab/>
      </w:r>
      <w:r>
        <w:rPr>
          <w:rFonts w:ascii="David" w:hAnsi="David"/>
          <w:rtl/>
        </w:rPr>
        <w:t xml:space="preserve">היות שבמסגרת הדיון בבקשה בבית משפט קמא עלתה השאלה, האם המשיבים חרגו בבניה ממגרש </w:t>
      </w:r>
      <w:r w:rsidR="0023685B">
        <w:rPr>
          <w:rFonts w:ascii="David" w:hAnsi="David" w:hint="cs"/>
          <w:rtl/>
        </w:rPr>
        <w:t>00</w:t>
      </w:r>
      <w:r>
        <w:rPr>
          <w:rFonts w:ascii="David" w:hAnsi="David"/>
          <w:rtl/>
        </w:rPr>
        <w:t xml:space="preserve">/3, התירה השופטת קמא לצדדים באופן חריג להגיש חוות דעת מועד מטעמם. </w:t>
      </w:r>
    </w:p>
    <w:p w:rsidR="00943DD7" w:rsidRDefault="00943DD7" w:rsidP="00014FF4">
      <w:pPr>
        <w:spacing w:after="120" w:line="360" w:lineRule="auto"/>
        <w:ind w:left="720"/>
        <w:jc w:val="both"/>
        <w:rPr>
          <w:rFonts w:ascii="David" w:hAnsi="David"/>
          <w:rtl/>
        </w:rPr>
      </w:pPr>
      <w:r>
        <w:rPr>
          <w:rFonts w:ascii="David" w:hAnsi="David"/>
          <w:rtl/>
        </w:rPr>
        <w:t>לחוות דעת מטעם המשיבים התייחסנו לעיל.</w:t>
      </w:r>
    </w:p>
    <w:p w:rsidR="00943DD7" w:rsidRDefault="00943DD7" w:rsidP="0023685B">
      <w:pPr>
        <w:spacing w:after="120" w:line="360" w:lineRule="auto"/>
        <w:ind w:left="720"/>
        <w:jc w:val="both"/>
        <w:rPr>
          <w:rFonts w:ascii="David" w:hAnsi="David"/>
          <w:rtl/>
        </w:rPr>
      </w:pPr>
      <w:r>
        <w:rPr>
          <w:rFonts w:ascii="David" w:hAnsi="David"/>
          <w:rtl/>
        </w:rPr>
        <w:t xml:space="preserve">המבקשים גם  הגישו חוות דעת מודד מיום 21.7.2023, המודד חוסין עבד אלחלים (להלן: </w:t>
      </w:r>
      <w:r>
        <w:rPr>
          <w:rFonts w:ascii="David" w:hAnsi="David"/>
          <w:b/>
          <w:bCs/>
          <w:rtl/>
        </w:rPr>
        <w:t>"המודד חוסין"</w:t>
      </w:r>
      <w:r w:rsidR="0023685B">
        <w:rPr>
          <w:rFonts w:ascii="David" w:hAnsi="David"/>
          <w:rtl/>
        </w:rPr>
        <w:t>), והמסקנה בה היא, ש</w:t>
      </w:r>
      <w:r w:rsidR="0023685B">
        <w:rPr>
          <w:rFonts w:ascii="David" w:hAnsi="David" w:hint="cs"/>
          <w:rtl/>
        </w:rPr>
        <w:t>-ג'</w:t>
      </w:r>
      <w:r>
        <w:rPr>
          <w:rFonts w:ascii="David" w:hAnsi="David"/>
          <w:rtl/>
        </w:rPr>
        <w:t xml:space="preserve"> בונה בתחום מגרש </w:t>
      </w:r>
      <w:r w:rsidR="0023685B">
        <w:rPr>
          <w:rFonts w:ascii="David" w:hAnsi="David" w:hint="cs"/>
          <w:rtl/>
        </w:rPr>
        <w:t>00</w:t>
      </w:r>
      <w:r>
        <w:rPr>
          <w:rFonts w:ascii="David" w:hAnsi="David"/>
          <w:rtl/>
        </w:rPr>
        <w:t xml:space="preserve">/3 ללא חריגה. אמנם המודד חוסין העלה תזה להבחנה בין שטחי ברוטו לנטו, באופן שעניינם של המבקשים, ככל שתוכח מתנה בשטח לא מסויים, עלול להיפגע. ברם סבורני כי כרגע ולצורך הסעד הזמני, לאור כל האמור לעיל, אין בכוחה של תזת המודד חוסין, שלא היתה ברורה לשופטת קמא עד תום, כפי שאף ציינה זאת בהחלטה קמא, להתגבר על חלישות עילת התביעה, החלוקה דה פקטו שהתבצעה ומיקום הבניה במסגרת מגרש </w:t>
      </w:r>
      <w:r w:rsidR="0023685B">
        <w:rPr>
          <w:rFonts w:ascii="David" w:hAnsi="David" w:hint="cs"/>
          <w:rtl/>
        </w:rPr>
        <w:t>00</w:t>
      </w:r>
      <w:r>
        <w:rPr>
          <w:rFonts w:ascii="David" w:hAnsi="David"/>
          <w:rtl/>
        </w:rPr>
        <w:t xml:space="preserve">/3 שבחזקתם הבלעדית של המשיבים (אף לגרסת המבקשים). </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u w:val="single"/>
          <w:rtl/>
        </w:rPr>
        <w:t>טענת המבקשים לענין אי עריכת חוות דעתו של המודד חלבי בהתאם לפקודת הראיות אינה מצדיקה התעלמות ממנה, משני טעמים</w:t>
      </w:r>
      <w:r>
        <w:rPr>
          <w:rFonts w:ascii="David" w:hAnsi="David"/>
          <w:rtl/>
        </w:rPr>
        <w:t>:</w:t>
      </w:r>
    </w:p>
    <w:p w:rsidR="00943DD7" w:rsidRDefault="00943DD7" w:rsidP="00014FF4">
      <w:pPr>
        <w:pStyle w:val="ad"/>
        <w:numPr>
          <w:ilvl w:val="0"/>
          <w:numId w:val="2"/>
        </w:numPr>
        <w:spacing w:after="120" w:line="360" w:lineRule="auto"/>
        <w:contextualSpacing w:val="0"/>
        <w:jc w:val="both"/>
        <w:rPr>
          <w:rFonts w:ascii="David" w:hAnsi="David"/>
          <w:rtl/>
        </w:rPr>
      </w:pPr>
      <w:r>
        <w:rPr>
          <w:rFonts w:ascii="David" w:hAnsi="David"/>
          <w:rtl/>
        </w:rPr>
        <w:t>חוות דעתו של המומחה חלבי ניתנת להשלמה ותיקון בהמשך ההליך, ואף במסגרת חקירתו הנגדית;</w:t>
      </w:r>
    </w:p>
    <w:p w:rsidR="00943DD7" w:rsidRDefault="00943DD7" w:rsidP="00014FF4">
      <w:pPr>
        <w:pStyle w:val="ad"/>
        <w:numPr>
          <w:ilvl w:val="0"/>
          <w:numId w:val="2"/>
        </w:numPr>
        <w:spacing w:after="120" w:line="360" w:lineRule="auto"/>
        <w:contextualSpacing w:val="0"/>
        <w:jc w:val="both"/>
        <w:rPr>
          <w:rFonts w:ascii="David" w:hAnsi="David"/>
          <w:rtl/>
        </w:rPr>
      </w:pPr>
      <w:r>
        <w:rPr>
          <w:rFonts w:ascii="David" w:hAnsi="David"/>
          <w:u w:val="single"/>
          <w:rtl/>
        </w:rPr>
        <w:t>במסגרת הליכים בבית משפט למשפחה ניתן להקל בהגשת ראיות, כהוראת סעיף 8(א)  לחוק בית המשפט לענייני משפחה, תשנ,ה-1195, שלשונו כאמור</w:t>
      </w:r>
      <w:r>
        <w:rPr>
          <w:rFonts w:ascii="David" w:hAnsi="David"/>
          <w:rtl/>
        </w:rPr>
        <w:t>:</w:t>
      </w:r>
    </w:p>
    <w:p w:rsidR="00943DD7" w:rsidRDefault="00943DD7" w:rsidP="00014FF4">
      <w:pPr>
        <w:spacing w:after="120" w:line="360" w:lineRule="auto"/>
        <w:ind w:left="2160" w:right="709"/>
        <w:jc w:val="both"/>
        <w:rPr>
          <w:rFonts w:ascii="David" w:hAnsi="David"/>
          <w:b/>
          <w:bCs/>
        </w:rPr>
      </w:pPr>
      <w:r>
        <w:rPr>
          <w:rFonts w:ascii="David" w:hAnsi="David"/>
          <w:b/>
          <w:bCs/>
          <w:rtl/>
        </w:rPr>
        <w:t>"בכל ענין של דיני ראיות וסדרי דין, שאין עליו הוראה אחרת, לפי חוק זה, ינהג בית המשפט בדרך הנראית לו הטובה ביותר לעשיית משפט צדק; אין בהוראה זו כדי לגרוע מכללי חסיונות עדים או כללי ראיות חסויות".</w:t>
      </w:r>
    </w:p>
    <w:p w:rsidR="00943DD7" w:rsidRDefault="00943DD7" w:rsidP="00014FF4">
      <w:pPr>
        <w:spacing w:after="120" w:line="360" w:lineRule="auto"/>
        <w:ind w:left="720" w:hanging="720"/>
        <w:jc w:val="both"/>
        <w:rPr>
          <w:rFonts w:ascii="David" w:hAnsi="David"/>
          <w:rtl/>
        </w:rPr>
      </w:pPr>
      <w:r>
        <w:rPr>
          <w:rFonts w:ascii="David" w:hAnsi="David"/>
          <w:rtl/>
        </w:rPr>
        <w:t>38.</w:t>
      </w:r>
      <w:r>
        <w:rPr>
          <w:rFonts w:ascii="David" w:hAnsi="David"/>
          <w:rtl/>
        </w:rPr>
        <w:tab/>
        <w:t xml:space="preserve">טענת המבקשים כי הועדה המקומית לא נהגה כראוי בהוציאה היתר בניה ללא תשריט חלוקה מוסכם צריכה להיטען בפני ערכאה מוסמכת, ובכל מקרה היוותה הרחבת חזית, שכן לא נטענה בבקשה, הכל כמצויין בצדק בהחלטה קמא. </w:t>
      </w:r>
    </w:p>
    <w:p w:rsidR="00943DD7" w:rsidRDefault="00943DD7" w:rsidP="0023685B">
      <w:pPr>
        <w:spacing w:after="120" w:line="360" w:lineRule="auto"/>
        <w:ind w:left="720" w:hanging="720"/>
        <w:jc w:val="both"/>
        <w:rPr>
          <w:rFonts w:ascii="David" w:hAnsi="David"/>
          <w:rtl/>
        </w:rPr>
      </w:pPr>
      <w:r>
        <w:rPr>
          <w:rFonts w:ascii="David" w:hAnsi="David"/>
          <w:rtl/>
        </w:rPr>
        <w:t>39.</w:t>
      </w:r>
      <w:r>
        <w:rPr>
          <w:rFonts w:ascii="David" w:hAnsi="David"/>
          <w:rtl/>
        </w:rPr>
        <w:tab/>
      </w:r>
      <w:r>
        <w:rPr>
          <w:rFonts w:ascii="David" w:hAnsi="David"/>
          <w:b/>
          <w:bCs/>
          <w:rtl/>
        </w:rPr>
        <w:t xml:space="preserve">לסיכום ייאמר, כי משהוכח לכאורה, כי קיימת חלוקה למעשה של המקרקעין, באופן שניתן היתר </w:t>
      </w:r>
      <w:r w:rsidR="0023685B">
        <w:rPr>
          <w:rFonts w:ascii="David" w:hAnsi="David" w:hint="cs"/>
          <w:b/>
          <w:bCs/>
          <w:rtl/>
        </w:rPr>
        <w:t>ל-ג'</w:t>
      </w:r>
      <w:r>
        <w:rPr>
          <w:rFonts w:ascii="David" w:hAnsi="David"/>
          <w:b/>
          <w:bCs/>
          <w:rtl/>
        </w:rPr>
        <w:t xml:space="preserve"> לבנות על מגרש </w:t>
      </w:r>
      <w:r w:rsidR="0023685B">
        <w:rPr>
          <w:rFonts w:ascii="David" w:hAnsi="David" w:hint="cs"/>
          <w:b/>
          <w:bCs/>
          <w:rtl/>
        </w:rPr>
        <w:t>00</w:t>
      </w:r>
      <w:r>
        <w:rPr>
          <w:rFonts w:ascii="David" w:hAnsi="David"/>
          <w:b/>
          <w:bCs/>
          <w:rtl/>
        </w:rPr>
        <w:t>/3 שבחזקת המשיבים לפי החלוקה האמורה, והבניה לא חורגת מתחומי ההיתר והמגרש האמור, אין הצדקה לכאורה למתן צו מניעה כמבוקש</w:t>
      </w:r>
      <w:r>
        <w:rPr>
          <w:rFonts w:ascii="David" w:hAnsi="David"/>
          <w:rtl/>
        </w:rPr>
        <w:t xml:space="preserve">. </w:t>
      </w:r>
    </w:p>
    <w:p w:rsidR="00943DD7" w:rsidRDefault="00943DD7" w:rsidP="00014FF4">
      <w:pPr>
        <w:spacing w:after="120" w:line="360" w:lineRule="auto"/>
        <w:ind w:left="720" w:hanging="720"/>
        <w:jc w:val="both"/>
        <w:rPr>
          <w:rFonts w:ascii="David" w:hAnsi="David"/>
          <w:rtl/>
        </w:rPr>
      </w:pPr>
      <w:r>
        <w:rPr>
          <w:rFonts w:ascii="David" w:hAnsi="David"/>
          <w:rtl/>
        </w:rPr>
        <w:lastRenderedPageBreak/>
        <w:tab/>
        <w:t xml:space="preserve">הדברים משתקפים היטב גם בהחלטה קמא (ראו סעיפים 13(ב)+(ג) לעיל), ומקובלים עלי. </w:t>
      </w:r>
    </w:p>
    <w:p w:rsidR="00943DD7" w:rsidRDefault="00943DD7" w:rsidP="00014FF4">
      <w:pPr>
        <w:spacing w:after="120" w:line="360" w:lineRule="auto"/>
        <w:ind w:left="720" w:hanging="720"/>
        <w:jc w:val="both"/>
        <w:rPr>
          <w:rFonts w:ascii="David" w:hAnsi="David"/>
          <w:b/>
          <w:bCs/>
          <w:u w:val="single"/>
          <w:rtl/>
        </w:rPr>
      </w:pPr>
    </w:p>
    <w:p w:rsidR="00943DD7" w:rsidRDefault="00943DD7" w:rsidP="00014FF4">
      <w:pPr>
        <w:spacing w:after="120" w:line="360" w:lineRule="auto"/>
        <w:ind w:left="720" w:hanging="720"/>
        <w:jc w:val="both"/>
        <w:rPr>
          <w:rFonts w:ascii="David" w:hAnsi="David"/>
          <w:b/>
          <w:bCs/>
          <w:u w:val="single"/>
          <w:rtl/>
        </w:rPr>
      </w:pPr>
      <w:r>
        <w:rPr>
          <w:rFonts w:ascii="David" w:hAnsi="David"/>
          <w:b/>
          <w:bCs/>
          <w:u w:val="single"/>
          <w:rtl/>
        </w:rPr>
        <w:t xml:space="preserve">שאלה ג' – שיהוי בהגשת הבקשה </w:t>
      </w:r>
    </w:p>
    <w:p w:rsidR="00943DD7" w:rsidRDefault="00943DD7" w:rsidP="00014FF4">
      <w:pPr>
        <w:spacing w:after="120" w:line="360" w:lineRule="auto"/>
        <w:ind w:left="720" w:hanging="720"/>
        <w:jc w:val="both"/>
        <w:rPr>
          <w:rFonts w:ascii="David" w:hAnsi="David"/>
          <w:rtl/>
        </w:rPr>
      </w:pPr>
      <w:r>
        <w:rPr>
          <w:rFonts w:ascii="David" w:hAnsi="David"/>
          <w:rtl/>
        </w:rPr>
        <w:t>40.</w:t>
      </w:r>
      <w:r>
        <w:rPr>
          <w:rFonts w:ascii="David" w:hAnsi="David"/>
          <w:rtl/>
        </w:rPr>
        <w:tab/>
        <w:t>במסגרת בחינת השיהוי בהגשת הבקשה, לא אתייחס לעובדת חוסר המעש ברישום המתנה על משמעויותיה בנסיבות דנן. לכך התייחסתי בסעיף 31 לעיל.</w:t>
      </w:r>
    </w:p>
    <w:p w:rsidR="00943DD7" w:rsidRDefault="00943DD7" w:rsidP="0023685B">
      <w:pPr>
        <w:spacing w:after="120" w:line="360" w:lineRule="auto"/>
        <w:ind w:left="720" w:hanging="720"/>
        <w:jc w:val="both"/>
        <w:rPr>
          <w:rFonts w:ascii="David" w:hAnsi="David"/>
          <w:rtl/>
        </w:rPr>
      </w:pPr>
      <w:r>
        <w:rPr>
          <w:rFonts w:ascii="David" w:hAnsi="David"/>
          <w:rtl/>
        </w:rPr>
        <w:t>41.</w:t>
      </w:r>
      <w:r>
        <w:rPr>
          <w:rFonts w:ascii="David" w:hAnsi="David"/>
          <w:rtl/>
        </w:rPr>
        <w:tab/>
        <w:t xml:space="preserve">אתייחס בבחינת טענת השיהוי, בעיקר לשאלת הידיעה על הבקשה להיתר שהגיש </w:t>
      </w:r>
      <w:r w:rsidR="0023685B">
        <w:rPr>
          <w:rFonts w:ascii="David" w:hAnsi="David" w:hint="cs"/>
          <w:rtl/>
        </w:rPr>
        <w:t>ג'</w:t>
      </w:r>
      <w:r>
        <w:rPr>
          <w:rFonts w:ascii="David" w:hAnsi="David"/>
          <w:rtl/>
        </w:rPr>
        <w:t xml:space="preserve"> לועדה המקומית</w:t>
      </w:r>
      <w:r w:rsidR="0023685B">
        <w:rPr>
          <w:rFonts w:ascii="David" w:hAnsi="David" w:hint="cs"/>
          <w:rtl/>
        </w:rPr>
        <w:t xml:space="preserve"> </w:t>
      </w:r>
      <w:r>
        <w:rPr>
          <w:rFonts w:ascii="David" w:hAnsi="David"/>
          <w:rtl/>
        </w:rPr>
        <w:t xml:space="preserve">בהקשר של העבודות נשוא הבקשה. </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u w:val="single"/>
          <w:rtl/>
        </w:rPr>
        <w:t>העולה מתגובת המשיבים על נספחיה, וכמצויין בהחלטה קמא, הוא כדלקמן</w:t>
      </w:r>
      <w:r>
        <w:rPr>
          <w:rFonts w:ascii="David" w:hAnsi="David"/>
          <w:rtl/>
        </w:rPr>
        <w:t>:</w:t>
      </w:r>
    </w:p>
    <w:p w:rsidR="00943DD7" w:rsidRDefault="00943DD7" w:rsidP="0023685B">
      <w:pPr>
        <w:spacing w:after="120" w:line="360" w:lineRule="auto"/>
        <w:ind w:left="1440" w:hanging="720"/>
        <w:jc w:val="both"/>
        <w:rPr>
          <w:rFonts w:ascii="David" w:hAnsi="David"/>
          <w:rtl/>
        </w:rPr>
      </w:pPr>
      <w:r>
        <w:rPr>
          <w:rFonts w:ascii="David" w:hAnsi="David"/>
          <w:rtl/>
        </w:rPr>
        <w:t>א.</w:t>
      </w:r>
      <w:r>
        <w:rPr>
          <w:rFonts w:ascii="David" w:hAnsi="David"/>
          <w:rtl/>
        </w:rPr>
        <w:tab/>
        <w:t>המבקשים הגישו התנגדות לבקשת ההית</w:t>
      </w:r>
      <w:r w:rsidR="0023685B">
        <w:rPr>
          <w:rFonts w:ascii="David" w:hAnsi="David"/>
          <w:rtl/>
        </w:rPr>
        <w:t>ר שהגיש</w:t>
      </w:r>
      <w:r w:rsidR="0023685B">
        <w:rPr>
          <w:rFonts w:ascii="David" w:hAnsi="David" w:hint="cs"/>
          <w:rtl/>
        </w:rPr>
        <w:t xml:space="preserve"> ג' </w:t>
      </w:r>
      <w:r>
        <w:rPr>
          <w:rFonts w:ascii="David" w:hAnsi="David"/>
          <w:rtl/>
        </w:rPr>
        <w:t>כבר ביום 23.2.2023, והעלו גם טענות קנייניות;</w:t>
      </w:r>
    </w:p>
    <w:p w:rsidR="00943DD7" w:rsidRDefault="00943DD7" w:rsidP="00014FF4">
      <w:pPr>
        <w:spacing w:after="120" w:line="360" w:lineRule="auto"/>
        <w:ind w:left="1440" w:hanging="720"/>
        <w:jc w:val="both"/>
        <w:rPr>
          <w:rFonts w:ascii="David" w:hAnsi="David"/>
          <w:rtl/>
        </w:rPr>
      </w:pPr>
      <w:r>
        <w:rPr>
          <w:rFonts w:ascii="David" w:hAnsi="David"/>
          <w:rtl/>
        </w:rPr>
        <w:t>ב.</w:t>
      </w:r>
      <w:r>
        <w:rPr>
          <w:rFonts w:ascii="David" w:hAnsi="David"/>
          <w:rtl/>
        </w:rPr>
        <w:tab/>
        <w:t xml:space="preserve">הועדה המקומית שדנה בהתנגדות ביום 27.5.2021 נתנה למתנגדים/המבקשים שהות בת 30 ימים לפנות לערכאות המוסמכות לדון בזכויותיהם הקנייניות, ועכבה את מתן ההיתר עד אז; </w:t>
      </w:r>
    </w:p>
    <w:p w:rsidR="00943DD7" w:rsidRDefault="00943DD7" w:rsidP="0023685B">
      <w:pPr>
        <w:spacing w:after="120" w:line="360" w:lineRule="auto"/>
        <w:ind w:left="1440" w:hanging="720"/>
        <w:jc w:val="both"/>
        <w:rPr>
          <w:rFonts w:ascii="David" w:hAnsi="David"/>
          <w:rtl/>
        </w:rPr>
      </w:pPr>
      <w:r>
        <w:rPr>
          <w:rFonts w:ascii="David" w:hAnsi="David"/>
          <w:rtl/>
        </w:rPr>
        <w:t>ג.</w:t>
      </w:r>
      <w:r>
        <w:rPr>
          <w:rFonts w:ascii="David" w:hAnsi="David"/>
          <w:rtl/>
        </w:rPr>
        <w:tab/>
        <w:t xml:space="preserve">בחלוף המועד של ה-30 ימים ניתן ההיתר </w:t>
      </w:r>
      <w:r w:rsidR="0023685B">
        <w:rPr>
          <w:rFonts w:ascii="David" w:hAnsi="David" w:hint="cs"/>
          <w:rtl/>
        </w:rPr>
        <w:t>ל- ג'</w:t>
      </w:r>
      <w:r>
        <w:rPr>
          <w:rFonts w:ascii="David" w:hAnsi="David"/>
          <w:rtl/>
        </w:rPr>
        <w:t>;</w:t>
      </w:r>
    </w:p>
    <w:p w:rsidR="00943DD7" w:rsidRDefault="00943DD7" w:rsidP="0023685B">
      <w:pPr>
        <w:spacing w:after="120" w:line="360" w:lineRule="auto"/>
        <w:ind w:left="720"/>
        <w:jc w:val="both"/>
        <w:rPr>
          <w:rFonts w:ascii="David" w:hAnsi="David"/>
          <w:rtl/>
        </w:rPr>
      </w:pPr>
      <w:r>
        <w:rPr>
          <w:rFonts w:ascii="David" w:hAnsi="David"/>
          <w:rtl/>
        </w:rPr>
        <w:t xml:space="preserve">ברם, התובעים הגישו התובענה הנדונה (20.6.2023) תוך 30 הימים שנקצבו להם על ידי הועדה המקומית, ואת הבקשה אף טרם הגשת כתב התביעה (ביום 12.6.23), כמצויין לעיל. </w:t>
      </w:r>
    </w:p>
    <w:p w:rsidR="00943DD7" w:rsidRDefault="00943DD7" w:rsidP="00014FF4">
      <w:pPr>
        <w:spacing w:after="120" w:line="360" w:lineRule="auto"/>
        <w:ind w:left="720"/>
        <w:jc w:val="both"/>
        <w:rPr>
          <w:rFonts w:ascii="David" w:hAnsi="David"/>
          <w:rtl/>
        </w:rPr>
      </w:pPr>
      <w:r>
        <w:rPr>
          <w:rFonts w:ascii="David" w:hAnsi="David"/>
          <w:b/>
          <w:bCs/>
          <w:rtl/>
        </w:rPr>
        <w:t>במצב דברים זה, איני סבור כי הבקשה הוגשה בשיהוי אלא תוך מסגרת הזמן שקצבה הועדה המקומית למבקשים להגשת התובענה</w:t>
      </w:r>
      <w:r>
        <w:rPr>
          <w:rFonts w:ascii="David" w:hAnsi="David"/>
          <w:rtl/>
        </w:rPr>
        <w:t xml:space="preserve"> הנוגעת לזכויותיהם הקנייניות במקרקעין. </w:t>
      </w:r>
    </w:p>
    <w:p w:rsidR="00943DD7" w:rsidRDefault="00943DD7" w:rsidP="00014FF4">
      <w:pPr>
        <w:spacing w:after="120" w:line="360" w:lineRule="auto"/>
        <w:ind w:left="720"/>
        <w:jc w:val="both"/>
        <w:rPr>
          <w:rFonts w:ascii="David" w:hAnsi="David"/>
          <w:rtl/>
        </w:rPr>
      </w:pPr>
      <w:r>
        <w:rPr>
          <w:rFonts w:ascii="David" w:hAnsi="David"/>
          <w:rtl/>
        </w:rPr>
        <w:t xml:space="preserve">במצב דברים זה, לא אוכל לקבל את קביעת השופטת קמא בהחלטה קמא בדבר שיהוי בהגשת הבקשה (ראו סעיף 13(ד) לעיל + פסק הדין ברמ"ש הקודם בהתייחס לשאלת השיהוי). </w:t>
      </w:r>
    </w:p>
    <w:p w:rsidR="00943DD7" w:rsidRDefault="00943DD7" w:rsidP="00014FF4">
      <w:pPr>
        <w:spacing w:after="120" w:line="360" w:lineRule="auto"/>
        <w:ind w:left="720"/>
        <w:jc w:val="both"/>
        <w:rPr>
          <w:rFonts w:ascii="David" w:hAnsi="David"/>
          <w:rtl/>
        </w:rPr>
      </w:pPr>
    </w:p>
    <w:p w:rsidR="00943DD7" w:rsidRDefault="00943DD7" w:rsidP="00014FF4">
      <w:pPr>
        <w:spacing w:after="120" w:line="360" w:lineRule="auto"/>
        <w:jc w:val="both"/>
        <w:rPr>
          <w:rFonts w:ascii="David" w:hAnsi="David"/>
          <w:b/>
          <w:bCs/>
          <w:u w:val="single"/>
          <w:rtl/>
        </w:rPr>
      </w:pPr>
      <w:r>
        <w:rPr>
          <w:rFonts w:ascii="David" w:hAnsi="David"/>
          <w:b/>
          <w:bCs/>
          <w:u w:val="single"/>
          <w:rtl/>
        </w:rPr>
        <w:t>שאלה ד' – מאזן הנוחות</w:t>
      </w:r>
    </w:p>
    <w:p w:rsidR="00943DD7" w:rsidRDefault="00943DD7" w:rsidP="00014FF4">
      <w:pPr>
        <w:spacing w:after="120" w:line="360" w:lineRule="auto"/>
        <w:ind w:left="720" w:hanging="720"/>
        <w:jc w:val="both"/>
        <w:rPr>
          <w:rFonts w:ascii="David" w:hAnsi="David"/>
          <w:rtl/>
        </w:rPr>
      </w:pPr>
      <w:r>
        <w:rPr>
          <w:rFonts w:ascii="David" w:hAnsi="David"/>
          <w:rtl/>
        </w:rPr>
        <w:t>42.</w:t>
      </w:r>
      <w:r>
        <w:rPr>
          <w:rFonts w:ascii="David" w:hAnsi="David"/>
          <w:rtl/>
        </w:rPr>
        <w:tab/>
        <w:t>כאמור בסעיף 20 לעיל, סעיף 95(ב) לתקנות קובע, כי בכדי ליתן סעד זמני בית משפט צריך להשתכנע, על בסיס ראיות מספקות לכאורה בקיומה של עילת תביעה, ובנחיצות הסעד הזמני.</w:t>
      </w:r>
    </w:p>
    <w:p w:rsidR="00943DD7" w:rsidRDefault="00943DD7" w:rsidP="00014FF4">
      <w:pPr>
        <w:spacing w:after="120" w:line="360" w:lineRule="auto"/>
        <w:ind w:left="720" w:hanging="720"/>
        <w:jc w:val="both"/>
        <w:rPr>
          <w:rFonts w:ascii="David" w:hAnsi="David"/>
          <w:rtl/>
        </w:rPr>
      </w:pPr>
      <w:r>
        <w:rPr>
          <w:rFonts w:ascii="David" w:hAnsi="David"/>
          <w:rtl/>
        </w:rPr>
        <w:tab/>
      </w:r>
      <w:r>
        <w:rPr>
          <w:rFonts w:ascii="David" w:hAnsi="David"/>
          <w:u w:val="single"/>
          <w:rtl/>
        </w:rPr>
        <w:t>לנוכח מסקנותינו עד כה ניתן לומר כי</w:t>
      </w:r>
      <w:r>
        <w:rPr>
          <w:rFonts w:ascii="David" w:hAnsi="David"/>
          <w:rtl/>
        </w:rPr>
        <w:t>:</w:t>
      </w:r>
    </w:p>
    <w:p w:rsidR="00943DD7" w:rsidRDefault="00943DD7" w:rsidP="0023685B">
      <w:pPr>
        <w:spacing w:after="120" w:line="360" w:lineRule="auto"/>
        <w:ind w:left="720"/>
        <w:jc w:val="both"/>
        <w:rPr>
          <w:rFonts w:ascii="David" w:hAnsi="David"/>
          <w:rtl/>
        </w:rPr>
      </w:pPr>
      <w:r>
        <w:rPr>
          <w:rFonts w:ascii="David" w:hAnsi="David"/>
          <w:rtl/>
        </w:rPr>
        <w:lastRenderedPageBreak/>
        <w:t xml:space="preserve">היות שעסקינן לכאורה בשטח מתנה מסויים, שבהתאם לפסק הדין בהליך במחוזי בעלותו של </w:t>
      </w:r>
      <w:r w:rsidR="0023685B">
        <w:rPr>
          <w:rFonts w:ascii="David" w:hAnsi="David" w:hint="cs"/>
          <w:rtl/>
        </w:rPr>
        <w:t>מ'</w:t>
      </w:r>
      <w:r>
        <w:rPr>
          <w:rFonts w:ascii="David" w:hAnsi="David"/>
          <w:rtl/>
        </w:rPr>
        <w:t xml:space="preserve"> נשללה בו, ממילא עילת התביעה הנשענת על המתנה (שבוטלה לכאורה מעיקרא, שכן </w:t>
      </w:r>
      <w:r w:rsidR="0023685B">
        <w:rPr>
          <w:rFonts w:ascii="David" w:hAnsi="David" w:hint="cs"/>
          <w:rtl/>
        </w:rPr>
        <w:t>מ'</w:t>
      </w:r>
      <w:r>
        <w:rPr>
          <w:rFonts w:ascii="David" w:hAnsi="David"/>
          <w:rtl/>
        </w:rPr>
        <w:t xml:space="preserve"> לא יכול לתת מתנה שטח מתנה מסויים שאין לו), די חלשה; </w:t>
      </w:r>
    </w:p>
    <w:p w:rsidR="00943DD7" w:rsidRDefault="00943DD7" w:rsidP="00014FF4">
      <w:pPr>
        <w:spacing w:after="120" w:line="360" w:lineRule="auto"/>
        <w:ind w:left="720" w:hanging="720"/>
        <w:jc w:val="both"/>
        <w:rPr>
          <w:rFonts w:ascii="David" w:hAnsi="David"/>
          <w:rtl/>
        </w:rPr>
      </w:pPr>
      <w:r>
        <w:rPr>
          <w:rFonts w:ascii="David" w:hAnsi="David"/>
          <w:rtl/>
        </w:rPr>
        <w:tab/>
        <w:t xml:space="preserve">היות שעסקינן בבניה (נשוא הבקשה) במגרש 16/3 שבהתאם לחלוקה דה פקטו היא בחזקה בלעדית של המשיבים, ממילא הבניה לכאורה לא פוגעת במבקשים, ונחיצות הסעד הזמני נמוכה. </w:t>
      </w:r>
    </w:p>
    <w:p w:rsidR="00943DD7" w:rsidRDefault="00943DD7" w:rsidP="00014FF4">
      <w:pPr>
        <w:spacing w:after="120" w:line="360" w:lineRule="auto"/>
        <w:ind w:left="720" w:hanging="720"/>
        <w:jc w:val="both"/>
        <w:rPr>
          <w:rFonts w:ascii="David" w:hAnsi="David"/>
          <w:b/>
          <w:bCs/>
          <w:rtl/>
        </w:rPr>
      </w:pPr>
      <w:r>
        <w:rPr>
          <w:rFonts w:ascii="David" w:hAnsi="David"/>
          <w:rtl/>
        </w:rPr>
        <w:tab/>
      </w:r>
      <w:r>
        <w:rPr>
          <w:rFonts w:ascii="David" w:hAnsi="David"/>
          <w:b/>
          <w:bCs/>
          <w:rtl/>
        </w:rPr>
        <w:t xml:space="preserve">משעילת התביעה די חלשה ונחיצות הסעד הזמני נמוכה, נשמט לכאורה הבסיס למתן סעד זמני, כמבוקש על ידי המבקשים. </w:t>
      </w:r>
    </w:p>
    <w:p w:rsidR="00943DD7" w:rsidRDefault="00943DD7" w:rsidP="00014FF4">
      <w:pPr>
        <w:spacing w:after="120" w:line="360" w:lineRule="auto"/>
        <w:ind w:left="720" w:hanging="720"/>
        <w:jc w:val="both"/>
        <w:rPr>
          <w:rFonts w:ascii="David" w:hAnsi="David"/>
          <w:rtl/>
        </w:rPr>
      </w:pPr>
      <w:r>
        <w:rPr>
          <w:rFonts w:ascii="David" w:hAnsi="David"/>
          <w:rtl/>
        </w:rPr>
        <w:t>43.</w:t>
      </w:r>
      <w:r>
        <w:rPr>
          <w:rFonts w:ascii="David" w:hAnsi="David"/>
          <w:rtl/>
        </w:rPr>
        <w:tab/>
        <w:t>במצב דברים זה גם נוטה מאזן הנוחות לטובת המשיבים, ולאי מתן הסעד הזמני.</w:t>
      </w:r>
    </w:p>
    <w:p w:rsidR="00943DD7" w:rsidRDefault="00943DD7" w:rsidP="00014FF4">
      <w:pPr>
        <w:spacing w:after="120" w:line="360" w:lineRule="auto"/>
        <w:ind w:left="720"/>
        <w:jc w:val="both"/>
        <w:rPr>
          <w:rFonts w:ascii="David" w:hAnsi="David"/>
          <w:rtl/>
        </w:rPr>
      </w:pPr>
      <w:r>
        <w:rPr>
          <w:rFonts w:ascii="David" w:hAnsi="David"/>
          <w:rtl/>
        </w:rPr>
        <w:t xml:space="preserve"> </w:t>
      </w:r>
      <w:r>
        <w:rPr>
          <w:rFonts w:ascii="David" w:hAnsi="David"/>
          <w:u w:val="single"/>
          <w:rtl/>
        </w:rPr>
        <w:t>סעיף 95(ד) לתקנות קובע כדלקמן</w:t>
      </w:r>
      <w:r>
        <w:rPr>
          <w:rFonts w:ascii="David" w:hAnsi="David"/>
          <w:rtl/>
        </w:rPr>
        <w:t>:</w:t>
      </w:r>
    </w:p>
    <w:p w:rsidR="00943DD7" w:rsidRDefault="00943DD7" w:rsidP="00014FF4">
      <w:pPr>
        <w:spacing w:after="120" w:line="360" w:lineRule="auto"/>
        <w:ind w:left="1440" w:right="567"/>
        <w:jc w:val="both"/>
        <w:rPr>
          <w:rFonts w:ascii="David" w:hAnsi="David"/>
          <w:b/>
          <w:bCs/>
          <w:rtl/>
        </w:rPr>
      </w:pPr>
      <w:r>
        <w:rPr>
          <w:rFonts w:ascii="David" w:hAnsi="David"/>
          <w:b/>
          <w:bCs/>
          <w:rtl/>
        </w:rPr>
        <w:t>"בהחלטתו אם לתת סעד זמני וכן בקביעת סוג הסעד, היקפו ותנאיו, ישקול בית המשפט, בין השאר, את השיקולים האלה:</w:t>
      </w:r>
    </w:p>
    <w:p w:rsidR="00943DD7" w:rsidRDefault="00943DD7" w:rsidP="00014FF4">
      <w:pPr>
        <w:spacing w:after="120" w:line="360" w:lineRule="auto"/>
        <w:ind w:left="1440" w:right="567"/>
        <w:jc w:val="both"/>
        <w:rPr>
          <w:rFonts w:ascii="David" w:hAnsi="David"/>
          <w:b/>
          <w:bCs/>
          <w:rtl/>
        </w:rPr>
      </w:pPr>
      <w:r>
        <w:rPr>
          <w:rFonts w:ascii="David" w:hAnsi="David"/>
          <w:b/>
          <w:bCs/>
          <w:rtl/>
        </w:rPr>
        <w:t>(1)הנזק שעלול להיגרם למבקש אם לא יינתן הסעד הזמני לעומת הנזק שעלול להיגרם למשיב אם יינתן הסעד הזמני, וכן נזק העלול להיגרם לאדם אחר או לעניין ציבורי;</w:t>
      </w:r>
    </w:p>
    <w:p w:rsidR="00943DD7" w:rsidRDefault="00943DD7" w:rsidP="00014FF4">
      <w:pPr>
        <w:spacing w:after="120" w:line="360" w:lineRule="auto"/>
        <w:ind w:left="1440" w:right="567"/>
        <w:jc w:val="both"/>
        <w:rPr>
          <w:rFonts w:ascii="David" w:hAnsi="David"/>
          <w:b/>
          <w:bCs/>
          <w:rtl/>
        </w:rPr>
      </w:pPr>
      <w:r>
        <w:rPr>
          <w:rFonts w:ascii="David" w:hAnsi="David"/>
          <w:b/>
          <w:bCs/>
          <w:rtl/>
        </w:rPr>
        <w:t>(2)אם אין סעד אחר שפגיעתו במשיב קלה יותר, המשיג את התכלית שלשמה נועד הסעד הזמני;</w:t>
      </w:r>
    </w:p>
    <w:p w:rsidR="00943DD7" w:rsidRDefault="00943DD7" w:rsidP="00014FF4">
      <w:pPr>
        <w:spacing w:after="120" w:line="360" w:lineRule="auto"/>
        <w:ind w:left="1440" w:right="567"/>
        <w:jc w:val="both"/>
        <w:rPr>
          <w:rFonts w:ascii="David" w:hAnsi="David"/>
          <w:b/>
          <w:bCs/>
          <w:rtl/>
        </w:rPr>
      </w:pPr>
      <w:r>
        <w:rPr>
          <w:rFonts w:ascii="David" w:hAnsi="David"/>
          <w:b/>
          <w:bCs/>
          <w:rtl/>
        </w:rPr>
        <w:t>(3)תום לבם של בעלי הדין, הן בקשר לגוף העניין והן בקשר להגשת התביעה ובקשת הסעד הזמני, והאם המבקש לא השתהה יתר על המידה בנסיבות העניין בהגשת כתב התביעה או בהגשת הבקשה לסעד הזמני"</w:t>
      </w:r>
    </w:p>
    <w:p w:rsidR="00943DD7" w:rsidRDefault="00943DD7" w:rsidP="0023685B">
      <w:pPr>
        <w:spacing w:after="120" w:line="360" w:lineRule="auto"/>
        <w:ind w:left="720"/>
        <w:jc w:val="both"/>
        <w:rPr>
          <w:rFonts w:ascii="David" w:hAnsi="David"/>
          <w:rtl/>
        </w:rPr>
      </w:pPr>
      <w:r>
        <w:rPr>
          <w:rFonts w:ascii="David" w:hAnsi="David"/>
          <w:u w:val="single"/>
          <w:rtl/>
        </w:rPr>
        <w:t>טוענים המשיבים בתגובתם לענין זה כדלקמן</w:t>
      </w:r>
      <w:r>
        <w:rPr>
          <w:rFonts w:ascii="David" w:hAnsi="David"/>
          <w:rtl/>
        </w:rPr>
        <w:t>:</w:t>
      </w:r>
    </w:p>
    <w:p w:rsidR="00943DD7" w:rsidRDefault="00943DD7" w:rsidP="0023685B">
      <w:pPr>
        <w:spacing w:after="120" w:line="360" w:lineRule="auto"/>
        <w:ind w:left="720"/>
        <w:jc w:val="both"/>
        <w:rPr>
          <w:rFonts w:ascii="David" w:hAnsi="David"/>
          <w:rtl/>
        </w:rPr>
      </w:pPr>
      <w:r>
        <w:rPr>
          <w:rFonts w:ascii="David" w:hAnsi="David"/>
          <w:b/>
          <w:bCs/>
          <w:u w:val="single"/>
          <w:rtl/>
        </w:rPr>
        <w:t>באשר לנזק</w:t>
      </w:r>
      <w:r>
        <w:rPr>
          <w:rFonts w:ascii="David" w:hAnsi="David"/>
          <w:b/>
          <w:bCs/>
          <w:rtl/>
        </w:rPr>
        <w:t xml:space="preserve"> </w:t>
      </w:r>
      <w:r>
        <w:rPr>
          <w:rFonts w:ascii="David" w:hAnsi="David"/>
          <w:rtl/>
        </w:rPr>
        <w:t>–  הם "מושקעים" בעבודות הבניה נשוא הבקשה כספים רבים (מאות אלפי ₪), וכל עכוב יגרום להם נזק כספי אדיר. זאת כשמולם ניצבת עילת תביעה רעועה שהסעד הזמני בה בדרגת נחיצות נמוכה מאוד, שהרי אינם חורגים מבניה בשטח שבחזקתם הבלעדית, בהתאם לחלוקה דה פקטו שבין הצדדים;</w:t>
      </w:r>
    </w:p>
    <w:p w:rsidR="00943DD7" w:rsidRDefault="00943DD7" w:rsidP="0023685B">
      <w:pPr>
        <w:spacing w:after="120" w:line="360" w:lineRule="auto"/>
        <w:ind w:left="720"/>
        <w:jc w:val="both"/>
        <w:rPr>
          <w:rFonts w:ascii="David" w:hAnsi="David"/>
          <w:rtl/>
        </w:rPr>
      </w:pPr>
      <w:r>
        <w:rPr>
          <w:rFonts w:ascii="David" w:hAnsi="David"/>
          <w:b/>
          <w:bCs/>
          <w:u w:val="single"/>
          <w:rtl/>
        </w:rPr>
        <w:t xml:space="preserve">באשר לתום ליבם של המבקשים </w:t>
      </w:r>
      <w:r>
        <w:rPr>
          <w:rFonts w:ascii="David" w:hAnsi="David"/>
          <w:rtl/>
        </w:rPr>
        <w:t>– אלה הסתירו מבית המשפט עובדות מהותיות רבות, שחלקן פורט לעיל, וכולן פורטו בסעיף 135 לתגובת המשיבים;</w:t>
      </w:r>
    </w:p>
    <w:p w:rsidR="00943DD7" w:rsidRDefault="00943DD7" w:rsidP="0023685B">
      <w:pPr>
        <w:spacing w:after="120" w:line="360" w:lineRule="auto"/>
        <w:ind w:left="720"/>
        <w:jc w:val="both"/>
        <w:rPr>
          <w:rFonts w:ascii="David" w:hAnsi="David"/>
          <w:rtl/>
        </w:rPr>
      </w:pPr>
      <w:r>
        <w:rPr>
          <w:rFonts w:ascii="David" w:hAnsi="David"/>
          <w:b/>
          <w:bCs/>
          <w:u w:val="single"/>
          <w:rtl/>
        </w:rPr>
        <w:t>השתהות בהגשת התביעה להצהרה על זכויות מכח המתנה</w:t>
      </w:r>
      <w:r>
        <w:rPr>
          <w:rFonts w:ascii="David" w:hAnsi="David"/>
          <w:b/>
          <w:bCs/>
          <w:rtl/>
        </w:rPr>
        <w:t xml:space="preserve"> </w:t>
      </w:r>
      <w:r>
        <w:rPr>
          <w:rFonts w:ascii="David" w:hAnsi="David"/>
          <w:rtl/>
        </w:rPr>
        <w:t xml:space="preserve">– כ-21 שנה מיום המתנה, וכ-11 שנים לאחר פסק הדין בהליך במחוזי שניתן ביום 14.2.2012. </w:t>
      </w:r>
    </w:p>
    <w:p w:rsidR="00943DD7" w:rsidRDefault="00943DD7" w:rsidP="00B07D47">
      <w:pPr>
        <w:spacing w:after="120" w:line="360" w:lineRule="auto"/>
        <w:ind w:left="720"/>
        <w:jc w:val="both"/>
        <w:rPr>
          <w:rFonts w:ascii="David" w:hAnsi="David"/>
          <w:rtl/>
        </w:rPr>
      </w:pPr>
      <w:r>
        <w:rPr>
          <w:rFonts w:ascii="David" w:hAnsi="David"/>
          <w:rtl/>
        </w:rPr>
        <w:lastRenderedPageBreak/>
        <w:t xml:space="preserve">סבורני כי בנסיבות דנן, טענות אלה של המשיבים בתגובתם בדין יסודן, ומטים את מאזן הנוחות לטובת המשיבים, ולאי מתן הסעד הזמני. </w:t>
      </w:r>
    </w:p>
    <w:p w:rsidR="00943DD7" w:rsidRDefault="00943DD7" w:rsidP="00B07D47">
      <w:pPr>
        <w:spacing w:after="120" w:line="360" w:lineRule="auto"/>
        <w:jc w:val="both"/>
        <w:rPr>
          <w:rFonts w:ascii="David" w:hAnsi="David"/>
          <w:rtl/>
        </w:rPr>
      </w:pPr>
    </w:p>
    <w:p w:rsidR="00943DD7" w:rsidRDefault="00943DD7" w:rsidP="00B07D47">
      <w:pPr>
        <w:spacing w:after="120" w:line="360" w:lineRule="auto"/>
        <w:jc w:val="both"/>
        <w:rPr>
          <w:rFonts w:ascii="David" w:hAnsi="David"/>
          <w:b/>
          <w:bCs/>
          <w:u w:val="single"/>
          <w:rtl/>
        </w:rPr>
      </w:pPr>
      <w:r>
        <w:rPr>
          <w:rFonts w:ascii="David" w:hAnsi="David"/>
          <w:b/>
          <w:bCs/>
          <w:u w:val="single"/>
          <w:rtl/>
        </w:rPr>
        <w:t xml:space="preserve">סוף דבר </w:t>
      </w:r>
    </w:p>
    <w:p w:rsidR="00943DD7" w:rsidRDefault="00943DD7" w:rsidP="00B07D47">
      <w:pPr>
        <w:spacing w:after="120" w:line="360" w:lineRule="auto"/>
        <w:jc w:val="both"/>
        <w:rPr>
          <w:rFonts w:ascii="David" w:hAnsi="David"/>
          <w:rtl/>
        </w:rPr>
      </w:pPr>
      <w:r>
        <w:rPr>
          <w:rFonts w:ascii="David" w:hAnsi="David"/>
          <w:rtl/>
        </w:rPr>
        <w:t>44.</w:t>
      </w:r>
      <w:r>
        <w:rPr>
          <w:rFonts w:ascii="David" w:hAnsi="David"/>
          <w:rtl/>
        </w:rPr>
        <w:tab/>
      </w:r>
      <w:r>
        <w:rPr>
          <w:rFonts w:ascii="David" w:hAnsi="David"/>
          <w:b/>
          <w:bCs/>
          <w:rtl/>
        </w:rPr>
        <w:t>לאור כל האמור לעיל שוכנעתי לדחות את הערעור, וכך אני מורה</w:t>
      </w:r>
      <w:r>
        <w:rPr>
          <w:rFonts w:ascii="David" w:hAnsi="David"/>
          <w:rtl/>
        </w:rPr>
        <w:t xml:space="preserve">. </w:t>
      </w:r>
    </w:p>
    <w:p w:rsidR="00943DD7" w:rsidRDefault="00943DD7" w:rsidP="00B07D47">
      <w:pPr>
        <w:spacing w:after="120" w:line="360" w:lineRule="auto"/>
        <w:ind w:left="720" w:hanging="720"/>
        <w:jc w:val="both"/>
        <w:rPr>
          <w:rFonts w:ascii="David" w:hAnsi="David"/>
          <w:rtl/>
        </w:rPr>
      </w:pPr>
      <w:r>
        <w:rPr>
          <w:rFonts w:ascii="David" w:hAnsi="David"/>
          <w:rtl/>
        </w:rPr>
        <w:t>45.</w:t>
      </w:r>
      <w:r>
        <w:rPr>
          <w:rFonts w:ascii="David" w:hAnsi="David"/>
          <w:rtl/>
        </w:rPr>
        <w:tab/>
        <w:t>הסעד הארעי שניתן על ידי כב' השופטת אספרנצה אלון מיום 3.8.2023 מבוטל בזאת.</w:t>
      </w:r>
    </w:p>
    <w:p w:rsidR="00943DD7" w:rsidRDefault="00943DD7" w:rsidP="00B07D47">
      <w:pPr>
        <w:spacing w:after="120" w:line="360" w:lineRule="auto"/>
        <w:ind w:left="720" w:hanging="720"/>
        <w:jc w:val="both"/>
        <w:rPr>
          <w:rFonts w:ascii="David" w:hAnsi="David"/>
          <w:rtl/>
        </w:rPr>
      </w:pPr>
      <w:r>
        <w:rPr>
          <w:rFonts w:ascii="David" w:hAnsi="David"/>
          <w:rtl/>
        </w:rPr>
        <w:tab/>
        <w:t xml:space="preserve">הערבות שהופקדה כתנאי למתן הסעד הארעי (סכום של 50,000 ₪) תוחזר לידי המבקשים, באמצעות בא כוחם, תוך 14 ימים מיום מתן פסק דין זה (ימי פגרה נמנים), וככל שלא תוגש בנדון כל בקשה לנזק שנגרם בעקבות הסעד הארעי . </w:t>
      </w:r>
    </w:p>
    <w:p w:rsidR="00943DD7" w:rsidRDefault="00943DD7" w:rsidP="00B07D47">
      <w:pPr>
        <w:spacing w:after="120" w:line="360" w:lineRule="auto"/>
        <w:ind w:left="720" w:hanging="720"/>
        <w:jc w:val="both"/>
        <w:rPr>
          <w:rFonts w:ascii="David" w:hAnsi="David"/>
          <w:rtl/>
        </w:rPr>
      </w:pPr>
      <w:r>
        <w:rPr>
          <w:rFonts w:ascii="David" w:hAnsi="David"/>
          <w:rtl/>
        </w:rPr>
        <w:t>46.</w:t>
      </w:r>
      <w:r>
        <w:rPr>
          <w:rFonts w:ascii="David" w:hAnsi="David"/>
          <w:rtl/>
        </w:rPr>
        <w:tab/>
        <w:t xml:space="preserve">המבקשים, יחד ולחוד, יישאו בהוצאות המשיבים בערעור זה ובשכר טרחת בא כוחם בסכום של 7,500 ₪, שישולמו להם, באמצעות בא כוחם, מתוך הערבון שהפקידו עם הגשת הרמ"ש.  </w:t>
      </w:r>
    </w:p>
    <w:p w:rsidR="00943DD7" w:rsidRDefault="00943DD7" w:rsidP="00014FF4">
      <w:pPr>
        <w:spacing w:after="120" w:line="360" w:lineRule="auto"/>
        <w:ind w:left="720" w:hanging="720"/>
        <w:jc w:val="both"/>
        <w:rPr>
          <w:rFonts w:ascii="David" w:hAnsi="David"/>
          <w:rtl/>
        </w:rPr>
      </w:pPr>
    </w:p>
    <w:p w:rsidR="00943DD7" w:rsidRDefault="00943DD7" w:rsidP="00014FF4">
      <w:pPr>
        <w:spacing w:after="120" w:line="360" w:lineRule="auto"/>
        <w:ind w:left="720" w:hanging="720"/>
        <w:jc w:val="both"/>
        <w:rPr>
          <w:rFonts w:ascii="David" w:hAnsi="David"/>
          <w:b/>
          <w:bCs/>
          <w:rtl/>
        </w:rPr>
      </w:pPr>
      <w:r>
        <w:rPr>
          <w:rFonts w:ascii="David" w:hAnsi="David"/>
          <w:b/>
          <w:bCs/>
          <w:rtl/>
        </w:rPr>
        <w:t>המזכירות תעביר פסק דין זה לצדדים.</w:t>
      </w:r>
    </w:p>
    <w:p w:rsidR="00943DD7" w:rsidRDefault="00943DD7" w:rsidP="00014FF4">
      <w:pPr>
        <w:spacing w:after="120" w:line="360" w:lineRule="auto"/>
        <w:ind w:left="720" w:hanging="720"/>
        <w:jc w:val="both"/>
        <w:rPr>
          <w:rFonts w:ascii="David" w:hAnsi="David"/>
          <w:b/>
          <w:bCs/>
          <w:rtl/>
        </w:rPr>
      </w:pPr>
    </w:p>
    <w:p w:rsidR="00694556" w:rsidRPr="00C770E3" w:rsidRDefault="00943DD7" w:rsidP="00014FF4">
      <w:pPr>
        <w:spacing w:after="120" w:line="360" w:lineRule="auto"/>
        <w:ind w:left="720" w:hanging="720"/>
        <w:jc w:val="both"/>
        <w:rPr>
          <w:rFonts w:ascii="Arial" w:hAnsi="Arial"/>
          <w:noProof w:val="0"/>
          <w:rtl/>
        </w:rPr>
      </w:pPr>
      <w:r>
        <w:rPr>
          <w:rFonts w:ascii="David" w:hAnsi="David"/>
          <w:b/>
          <w:bCs/>
          <w:rtl/>
        </w:rPr>
        <w:t>פסק דין זה מותר לפרסום תוך השמטת שמות הצדדים וכל פרט מזהה אחר.</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אוגוסט 2023</w:t>
          </w:r>
        </w:sdtContent>
      </w:sdt>
      <w:r w:rsidR="00005C8B">
        <w:rPr>
          <w:rFonts w:ascii="Arial" w:hAnsi="Arial"/>
          <w:noProof w:val="0"/>
          <w:rtl/>
        </w:rPr>
        <w:t>, בהעדר הצדדים.</w:t>
      </w:r>
    </w:p>
    <w:p w:rsidR="00C43648" w:rsidRDefault="0078770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09542508"/>
        </w:sdtPr>
        <w:sdtEndPr/>
        <w:sdtContent>
          <w:r w:rsidR="00B375CE">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705" w:rsidRDefault="00787705">
      <w:r>
        <w:separator/>
      </w:r>
    </w:p>
  </w:endnote>
  <w:endnote w:type="continuationSeparator" w:id="0">
    <w:p w:rsidR="00787705" w:rsidRDefault="0078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A8" w:rsidRDefault="00A252A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2703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27039">
      <w:rPr>
        <w:rStyle w:val="ab"/>
        <w:rtl/>
      </w:rPr>
      <w:t>19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A8" w:rsidRDefault="00A252A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705" w:rsidRDefault="00787705">
      <w:r>
        <w:separator/>
      </w:r>
    </w:p>
  </w:footnote>
  <w:footnote w:type="continuationSeparator" w:id="0">
    <w:p w:rsidR="00787705" w:rsidRDefault="0078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A8" w:rsidRDefault="00A252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787705" w:rsidP="00B35700">
          <w:pPr>
            <w:rPr>
              <w:b/>
              <w:bCs/>
              <w:noProof w:val="0"/>
              <w:sz w:val="26"/>
              <w:szCs w:val="26"/>
              <w:rtl/>
            </w:rPr>
          </w:pPr>
          <w:sdt>
            <w:sdtPr>
              <w:rPr>
                <w:rtl/>
              </w:rPr>
              <w:alias w:val="1170"/>
              <w:tag w:val="1170"/>
              <w:id w:val="1066377040"/>
              <w:text w:multiLine="1"/>
            </w:sdtPr>
            <w:sdtEndPr/>
            <w:sdtContent>
              <w:r w:rsidR="00B859C5">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B859C5">
                <w:rPr>
                  <w:b/>
                  <w:bCs/>
                  <w:noProof w:val="0"/>
                  <w:sz w:val="26"/>
                  <w:szCs w:val="26"/>
                  <w:rtl/>
                </w:rPr>
                <w:t>72198-07-23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35700">
                <w:rPr>
                  <w:rFonts w:hint="cs"/>
                  <w:b/>
                  <w:bCs/>
                  <w:noProof w:val="0"/>
                  <w:sz w:val="26"/>
                  <w:szCs w:val="26"/>
                  <w:rtl/>
                </w:rPr>
                <w:t xml:space="preserve">ע' </w:t>
              </w:r>
              <w:r w:rsidR="00B859C5">
                <w:rPr>
                  <w:b/>
                  <w:bCs/>
                  <w:noProof w:val="0"/>
                  <w:sz w:val="26"/>
                  <w:szCs w:val="26"/>
                  <w:rtl/>
                </w:rPr>
                <w:t xml:space="preserve">(המנוח) ואח' נ' </w:t>
              </w:r>
              <w:r w:rsidR="00B35700">
                <w:rPr>
                  <w:rFonts w:hint="cs"/>
                  <w:b/>
                  <w:bCs/>
                  <w:noProof w:val="0"/>
                  <w:sz w:val="26"/>
                  <w:szCs w:val="26"/>
                  <w:rtl/>
                </w:rPr>
                <w:t>ח'</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2A8" w:rsidRDefault="00A252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A7BB4"/>
    <w:multiLevelType w:val="hybridMultilevel"/>
    <w:tmpl w:val="DB62BACE"/>
    <w:lvl w:ilvl="0" w:tplc="0FF464A0">
      <w:start w:val="1"/>
      <w:numFmt w:val="hebrew1"/>
      <w:lvlText w:val="%1."/>
      <w:lvlJc w:val="left"/>
      <w:pPr>
        <w:ind w:left="1500" w:hanging="78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0BC289F"/>
    <w:multiLevelType w:val="hybridMultilevel"/>
    <w:tmpl w:val="5C5816C2"/>
    <w:lvl w:ilvl="0" w:tplc="10E47928">
      <w:start w:val="1"/>
      <w:numFmt w:val="decimal"/>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758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75809&amp;lt;/CaseID&amp;gt;_x000d__x000a_        &amp;lt;CaseMonth&amp;gt;7&amp;lt;/CaseMonth&amp;gt;_x000d__x000a_        &amp;lt;CaseYear&amp;gt;2023&amp;lt;/CaseYear&amp;gt;_x000d__x000a_        &amp;lt;CaseNumber&amp;gt;72198&amp;lt;/CaseNumber&amp;gt;_x000d__x000a_        &amp;lt;NumeratorGroupID&amp;gt;1&amp;lt;/NumeratorGroupID&amp;gt;_x000d__x000a_        &amp;lt;CaseName&amp;gt;עווד(המנוח) ואח&amp;#39; נ&amp;#39; חלבי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2198-07-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amp;gt;קיימות בקשות לסעדים זמניים בתיק&amp;lt;/TemporaryAidStatus&amp;gt;_x000d__x000a_        &amp;lt;CaseOpenDate&amp;gt;2023-07-31T13:21: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חלטה מיום 15.08.23 נשלחה בפקס ידני וכן טלפונית לעו,ד הרוש אושר.&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75809&amp;lt;/CaseID&amp;gt;_x000d__x000a_        &amp;lt;CaseMonth&amp;gt;7&amp;lt;/CaseMonth&amp;gt;_x000d__x000a_        &amp;lt;CaseYear&amp;gt;2023&amp;lt;/CaseYear&amp;gt;_x000d__x000a_        &amp;lt;CaseNumber&amp;gt;72198&amp;lt;/CaseNumber&amp;gt;_x000d__x000a_        &amp;lt;NumeratorGroupID&amp;gt;1&amp;lt;/NumeratorGroupID&amp;gt;_x000d__x000a_        &amp;lt;CaseName&amp;gt;עווד(המנוח) ואח&amp;#39; נ&amp;#39; חלבי ואח&amp;#39;&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72198-07-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07-31T13:21: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חלטה מיום 15.08.23 נשלחה בפקס ידני וכן טלפונית לעו,ד הרוש אוש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18T14:11:07.803445+03:00&amp;lt;/DecisionStatusChangeDate&amp;gt;_x000d__x000a_        &amp;lt;DecisionSignatureDate&amp;gt;2023-08-18T14:11:07.803445+03:00&amp;lt;/DecisionSignatureDate&amp;gt;_x000d__x000a_        &amp;lt;DecisionSignatureUserID&amp;gt;056479827@GOV.IL&amp;lt;/DecisionSignatureUserID&amp;gt;_x000d__x000a_        &amp;lt;DecisionCreateDate&amp;gt;2023-08-18T14:11:07.803445+03:00&amp;lt;/DecisionCreateDate&amp;gt;_x000d__x000a_        &amp;lt;DecisionChangeDate&amp;gt;2023-08-18T14:11:07.803445+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47580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419540782"/>
    <w:docVar w:name="WordClientAssemblyName" w:val="NGCS.Decision.ClientWordBL"/>
    <w:docVar w:name="WordClientClassName" w:val="NGCS.Decision.ClientWordBL.DecisionClient"/>
  </w:docVars>
  <w:rsids>
    <w:rsidRoot w:val="00694556"/>
    <w:rsid w:val="00000062"/>
    <w:rsid w:val="0000226B"/>
    <w:rsid w:val="00005C8B"/>
    <w:rsid w:val="00014FF4"/>
    <w:rsid w:val="00027039"/>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3685B"/>
    <w:rsid w:val="00271B56"/>
    <w:rsid w:val="00272E32"/>
    <w:rsid w:val="002C344E"/>
    <w:rsid w:val="002E75E9"/>
    <w:rsid w:val="002F0B1E"/>
    <w:rsid w:val="00306BB9"/>
    <w:rsid w:val="00307A6A"/>
    <w:rsid w:val="00307C40"/>
    <w:rsid w:val="00320433"/>
    <w:rsid w:val="003230C7"/>
    <w:rsid w:val="00327E50"/>
    <w:rsid w:val="0033597A"/>
    <w:rsid w:val="00343D89"/>
    <w:rsid w:val="003610B6"/>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0BF9"/>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A2A33"/>
    <w:rsid w:val="006C2800"/>
    <w:rsid w:val="006C30C5"/>
    <w:rsid w:val="006D3B31"/>
    <w:rsid w:val="006E0D96"/>
    <w:rsid w:val="006E1A53"/>
    <w:rsid w:val="006F56E6"/>
    <w:rsid w:val="00704EDA"/>
    <w:rsid w:val="00721122"/>
    <w:rsid w:val="00734689"/>
    <w:rsid w:val="007351F7"/>
    <w:rsid w:val="00753019"/>
    <w:rsid w:val="00754801"/>
    <w:rsid w:val="00761441"/>
    <w:rsid w:val="00787705"/>
    <w:rsid w:val="00795365"/>
    <w:rsid w:val="007A351D"/>
    <w:rsid w:val="007B7765"/>
    <w:rsid w:val="007C2453"/>
    <w:rsid w:val="007C5BDD"/>
    <w:rsid w:val="007D45E3"/>
    <w:rsid w:val="007E6115"/>
    <w:rsid w:val="007F4609"/>
    <w:rsid w:val="00805EFF"/>
    <w:rsid w:val="00814468"/>
    <w:rsid w:val="008176A1"/>
    <w:rsid w:val="00820005"/>
    <w:rsid w:val="00844318"/>
    <w:rsid w:val="00844EC3"/>
    <w:rsid w:val="00860102"/>
    <w:rsid w:val="00863F5D"/>
    <w:rsid w:val="00870890"/>
    <w:rsid w:val="00873602"/>
    <w:rsid w:val="00875D12"/>
    <w:rsid w:val="00876170"/>
    <w:rsid w:val="0088479D"/>
    <w:rsid w:val="00891F42"/>
    <w:rsid w:val="00896889"/>
    <w:rsid w:val="008A6E97"/>
    <w:rsid w:val="008B674E"/>
    <w:rsid w:val="008C5714"/>
    <w:rsid w:val="008D10B2"/>
    <w:rsid w:val="00903896"/>
    <w:rsid w:val="00906A5A"/>
    <w:rsid w:val="00906F3D"/>
    <w:rsid w:val="0093156F"/>
    <w:rsid w:val="00943DD7"/>
    <w:rsid w:val="0094424E"/>
    <w:rsid w:val="00955642"/>
    <w:rsid w:val="009612BD"/>
    <w:rsid w:val="009622DF"/>
    <w:rsid w:val="0096493F"/>
    <w:rsid w:val="00967DFF"/>
    <w:rsid w:val="00994341"/>
    <w:rsid w:val="009D1A48"/>
    <w:rsid w:val="009E1CE7"/>
    <w:rsid w:val="009E461A"/>
    <w:rsid w:val="009E4EA5"/>
    <w:rsid w:val="009E6D7B"/>
    <w:rsid w:val="009F164B"/>
    <w:rsid w:val="009F323C"/>
    <w:rsid w:val="00A04007"/>
    <w:rsid w:val="00A252A8"/>
    <w:rsid w:val="00A3392B"/>
    <w:rsid w:val="00A46717"/>
    <w:rsid w:val="00A85E34"/>
    <w:rsid w:val="00A9144F"/>
    <w:rsid w:val="00A94B64"/>
    <w:rsid w:val="00AA3229"/>
    <w:rsid w:val="00AA7596"/>
    <w:rsid w:val="00AB3AE3"/>
    <w:rsid w:val="00AB5E52"/>
    <w:rsid w:val="00AC20AD"/>
    <w:rsid w:val="00AC3B02"/>
    <w:rsid w:val="00AC3B7B"/>
    <w:rsid w:val="00AC5209"/>
    <w:rsid w:val="00AE0E34"/>
    <w:rsid w:val="00AE729E"/>
    <w:rsid w:val="00AE7752"/>
    <w:rsid w:val="00AF7FDA"/>
    <w:rsid w:val="00B07D47"/>
    <w:rsid w:val="00B35700"/>
    <w:rsid w:val="00B375CE"/>
    <w:rsid w:val="00B5356E"/>
    <w:rsid w:val="00B809AD"/>
    <w:rsid w:val="00B80CBD"/>
    <w:rsid w:val="00B82D47"/>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33FEE"/>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043D"/>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43D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6836362">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287789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35717" w:rsidP="00B35717">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503A0579AA04416B8251018BC4016BCB"/>
        <w:category>
          <w:name w:val="כללי"/>
          <w:gallery w:val="placeholder"/>
        </w:category>
        <w:types>
          <w:type w:val="bbPlcHdr"/>
        </w:types>
        <w:behaviors>
          <w:behavior w:val="content"/>
        </w:behaviors>
        <w:guid w:val="{ECCC8476-9062-484F-AC1E-C137A1E6C32E}"/>
      </w:docPartPr>
      <w:docPartBody>
        <w:p w:rsidR="007C0458" w:rsidRDefault="00B35717" w:rsidP="00B35717">
          <w:pPr>
            <w:pStyle w:val="503A0579AA04416B8251018BC4016BCB"/>
          </w:pPr>
          <w:r>
            <w:rPr>
              <w:rFonts w:ascii="Arial" w:hAnsi="Arial"/>
              <w:b/>
              <w:bCs/>
              <w:sz w:val="26"/>
              <w:szCs w:val="26"/>
              <w:rtl/>
            </w:rPr>
            <w:t>שם צד א' ללא שם של חסוי</w:t>
          </w:r>
        </w:p>
      </w:docPartBody>
    </w:docPart>
    <w:docPart>
      <w:docPartPr>
        <w:name w:val="694BAC718095466CAF0F4AEF22E5877E"/>
        <w:category>
          <w:name w:val="כללי"/>
          <w:gallery w:val="placeholder"/>
        </w:category>
        <w:types>
          <w:type w:val="bbPlcHdr"/>
        </w:types>
        <w:behaviors>
          <w:behavior w:val="content"/>
        </w:behaviors>
        <w:guid w:val="{FB6E7311-F746-41B3-8B8E-FBED8CB31009}"/>
      </w:docPartPr>
      <w:docPartBody>
        <w:p w:rsidR="007C0458" w:rsidRDefault="00B35717" w:rsidP="00B35717">
          <w:pPr>
            <w:pStyle w:val="694BAC718095466CAF0F4AEF22E5877E"/>
          </w:pPr>
          <w:r>
            <w:rPr>
              <w:rFonts w:ascii="Arial" w:hAnsi="Arial"/>
              <w:b/>
              <w:bCs/>
              <w:sz w:val="26"/>
              <w:szCs w:val="26"/>
              <w:rtl/>
            </w:rPr>
            <w:t>שם צד א' ללא שם של חסוי</w:t>
          </w:r>
        </w:p>
      </w:docPartBody>
    </w:docPart>
    <w:docPart>
      <w:docPartPr>
        <w:name w:val="E5B627C5CECD49258F29A768F27C588B"/>
        <w:category>
          <w:name w:val="כללי"/>
          <w:gallery w:val="placeholder"/>
        </w:category>
        <w:types>
          <w:type w:val="bbPlcHdr"/>
        </w:types>
        <w:behaviors>
          <w:behavior w:val="content"/>
        </w:behaviors>
        <w:guid w:val="{62C215A3-9AC5-48CD-B8DA-58122CB50DEB}"/>
      </w:docPartPr>
      <w:docPartBody>
        <w:p w:rsidR="007C0458" w:rsidRDefault="00B35717" w:rsidP="00B35717">
          <w:pPr>
            <w:pStyle w:val="E5B627C5CECD49258F29A768F27C588B"/>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72AB1"/>
    <w:rsid w:val="000A4ACE"/>
    <w:rsid w:val="002D02C4"/>
    <w:rsid w:val="00345C9D"/>
    <w:rsid w:val="0048651F"/>
    <w:rsid w:val="005157ED"/>
    <w:rsid w:val="005171E8"/>
    <w:rsid w:val="00556D67"/>
    <w:rsid w:val="00793995"/>
    <w:rsid w:val="007C0458"/>
    <w:rsid w:val="007C6F98"/>
    <w:rsid w:val="007E254A"/>
    <w:rsid w:val="00817811"/>
    <w:rsid w:val="008B4366"/>
    <w:rsid w:val="009133C7"/>
    <w:rsid w:val="009178E4"/>
    <w:rsid w:val="00961B27"/>
    <w:rsid w:val="009A4BEE"/>
    <w:rsid w:val="00A51CA1"/>
    <w:rsid w:val="00AA7CE3"/>
    <w:rsid w:val="00AD53D7"/>
    <w:rsid w:val="00B35717"/>
    <w:rsid w:val="00B50DB2"/>
    <w:rsid w:val="00B91FA3"/>
    <w:rsid w:val="00BE6557"/>
    <w:rsid w:val="00C96C06"/>
    <w:rsid w:val="00CE1DCB"/>
    <w:rsid w:val="00D24521"/>
    <w:rsid w:val="00D961B8"/>
    <w:rsid w:val="00E31BF6"/>
    <w:rsid w:val="00E7186E"/>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35717"/>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35717"/>
    <w:pPr>
      <w:bidi/>
      <w:spacing w:after="0" w:line="240" w:lineRule="auto"/>
    </w:pPr>
    <w:rPr>
      <w:rFonts w:ascii="Times New Roman" w:eastAsia="Times New Roman" w:hAnsi="Times New Roman" w:cs="David"/>
      <w:noProof/>
      <w:sz w:val="24"/>
      <w:szCs w:val="24"/>
    </w:rPr>
  </w:style>
  <w:style w:type="paragraph" w:customStyle="1" w:styleId="503A0579AA04416B8251018BC4016BCB">
    <w:name w:val="503A0579AA04416B8251018BC4016BCB"/>
    <w:rsid w:val="00B35717"/>
    <w:pPr>
      <w:bidi/>
      <w:spacing w:after="160" w:line="259" w:lineRule="auto"/>
    </w:pPr>
  </w:style>
  <w:style w:type="paragraph" w:customStyle="1" w:styleId="694BAC718095466CAF0F4AEF22E5877E">
    <w:name w:val="694BAC718095466CAF0F4AEF22E5877E"/>
    <w:rsid w:val="00B35717"/>
    <w:pPr>
      <w:bidi/>
      <w:spacing w:after="160" w:line="259" w:lineRule="auto"/>
    </w:pPr>
  </w:style>
  <w:style w:type="paragraph" w:customStyle="1" w:styleId="E5B627C5CECD49258F29A768F27C588B">
    <w:name w:val="E5B627C5CECD49258F29A768F27C588B"/>
    <w:rsid w:val="00B35717"/>
    <w:pPr>
      <w:bidi/>
      <w:spacing w:after="160" w:line="259" w:lineRule="auto"/>
    </w:pPr>
  </w:style>
  <w:style w:type="paragraph" w:customStyle="1" w:styleId="412381050D9E4057ACAB5EFECAB4C499">
    <w:name w:val="412381050D9E4057ACAB5EFECAB4C499"/>
    <w:rsid w:val="00B35717"/>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אושר הרוש</FullName>
        <FirstName>אושר</FirstName>
        <LastName>הרוש</LastName>
        <PartyPropertyName/>
        <AuthenticationTypeAndNumber>מ.ר. 64392</AuthenticationTypeAndNumber>
        <RepresentatedOrRepresentativesNames>מג'יד חלבי, מותקאל חלבי</RepresentatedOrRepresentativesNames>
        <RepresentatedOrRepresentativesCount>2</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259210074</CasePartyID>
        <PartyTypeID>2</PartyTypeID>
        <ActivityStatusID>1</ActivityStatusID>
        <PartyAliasID>23</PartyAliasID>
        <PartyAliasName>בא כוח משיבים</PartyAliasName>
        <LegalEntityID>72645245</LegalEntityID>
        <CaseLegalEntityID>125460136</CaseLegalEntityID>
        <AuthenticationTypeID>4</AuthenticationTypeID>
        <AuthenticationTypeName>מ.ר.</AuthenticationTypeName>
        <LegalEntityNumber>64392</LegalEntityNumber>
        <IsMainPartyType>true</IsMainPartyType>
        <CaseDisplayIdentifier>72198-07-23</CaseDisplayIdentifier>
        <CaseTypeID>10074</CaseTypeID>
        <CaseTypeName>רשות ערעור משפחה (רמ"ש)</CaseTypeName>
        <CaseName>עווד(המנוח) ואח' נ' חלבי ואח'</CaseName>
        <FullAddress>נוף גלעד 171 בית שאן </FullAddress>
        <EmailAddress>osherh1@gmail.com</EmailAddress>
        <MotionID>0</MotionID>
        <CasePleaID>0</CasePleaID>
        <LinkedCaseID>0</LinkedCaseID>
        <PartyID>2</PartyID>
        <CasePartyCategoryID>2</CasePartyCategoryID>
        <LegalEntityAddressID>74743050</LegalEntityAddressID>
        <LegalEntityEmailAddressID>67852027</LegalEntityEmailAddressID>
        <PleaTypeID>5</PleaTypeID>
        <LawyerOfficeName>משרד עו"ד אושר הרוש</LawyerOfficeName>
        <LawyerOfficeID>72645246</LawyerOfficeID>
        <GroupPartyAlias/>
        <IsConverted>false</IsConverted>
        <LegalEntityNameID>76738833</LegalEntityNameID>
        <RepresentatedNamesOfAssistant/>
        <LegalEntityTypeID>4</LegalEntityTypeID>
        <IsVerdictExists>false</IsVerdictExists>
        <IsAsirAzir>false</IsAsirAzir>
        <IsPublicationProhibited>false</IsPublicationProhibited>
        <PublicationProhibitedFullName>אושר הרוש</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פואזה עווד (המנוח)</FullName>
        <FirstName>פואזה</FirstName>
        <LastName>עווד</LastName>
        <PartyPropertyID>12</PartyPropertyID>
        <PartyPropertyName/>
        <AuthenticationTypeAndNumber>ת"ז 020436044</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259006128</CasePartyID>
        <PartyTypeID>1</PartyTypeID>
        <ActivityStatusID>1</ActivityStatusID>
        <PartyAliasID>3</PartyAliasID>
        <PartyAliasName>מבקש</PartyAliasName>
        <OrdinalNumber>1</OrdinalNumber>
        <LegalEntityID>6121126</LegalEntityID>
        <CaseLegalEntityID>125384505</CaseLegalEntityID>
        <AuthenticationTypeID>1</AuthenticationTypeID>
        <AuthenticationTypeName>ת"ז</AuthenticationTypeName>
        <LegalEntityNumber>020436044</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חסין</FatherName>
        <LinkedCaseID>0</LinkedCaseID>
        <PartyID>1</PartyID>
        <CasePartyCategoryID>2</CasePartyCategoryID>
        <PleaTypeID>5</PleaTypeID>
        <GroupPartyAlias>מבקשים</GroupPartyAlias>
        <IsConverted>false</IsConverted>
        <LegalEntityRegisteredNameID>10377671</LegalEntityRegisteredNameID>
        <LegalEntityNameID>95006217</LegalEntityNameID>
        <RepresentatedNamesOfAssistant/>
        <LegalEntityTypeID>1</LegalEntityTypeID>
        <IsVerdictExists>false</IsVerdictExists>
        <IsAsirAzir>false</IsAsirAzir>
        <IsPublicationProhibited>false</IsPublicationProhibited>
        <PublicationProhibitedFullName>פואזה עווד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סעיד סמור</FullName>
        <FirstName>סעיד</FirstName>
        <LastName>סמור</LastName>
        <PartyPropertyName/>
        <AuthenticationTypeAndNumber>מ.ר. 47993</AuthenticationTypeAndNumber>
        <RepresentatedOrRepresentativesNames>דליה סאלם חלבי, סלימאן פרח חלבי, פרח סלימאן חלבי, פהד סליאמן עווד, פואזה עווד, פרג סלימאן עווד</RepresentatedOrRepresentativesNames>
        <RepresentatedOrRepresentativesCount>6</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259006136</CasePartyID>
        <PartyTypeID>2</PartyTypeID>
        <ActivityStatusID>1</ActivityStatusID>
        <PartyAliasID>22</PartyAliasID>
        <PartyAliasName>בא כוח מבקשים</PartyAliasName>
        <OrdinalNumber>1</OrdinalNumber>
        <LegalEntityID>15878354</LegalEntityID>
        <CaseLegalEntityID>125384513</CaseLegalEntityID>
        <AuthenticationTypeID>4</AuthenticationTypeID>
        <AuthenticationTypeName>מ.ר.</AuthenticationTypeName>
        <LegalEntityNumber>47993</LegalEntityNumber>
        <IsMainPartyType>true</IsMainPartyType>
        <CaseDisplayIdentifier>72198-07-23</CaseDisplayIdentifier>
        <CaseTypeID>10074</CaseTypeID>
        <CaseTypeName>רשות ערעור משפחה (רמ"ש)</CaseTypeName>
        <CaseName>עווד(המנוח) ואח' נ' חלבי ואח'</CaseName>
        <FullAddress>שפרעם שפרעם</FullAddress>
        <MotionID>0</MotionID>
        <CasePleaID>0</CasePleaID>
        <LinkedCaseID>0</LinkedCaseID>
        <PartyID>1</PartyID>
        <CasePartyCategoryID>2</CasePartyCategoryID>
        <LegalEntityAddressID>16144797</LegalEntityAddressID>
        <PleaTypeID>5</PleaTypeID>
        <LawyerOfficeName>משרד עו"ד סעיד סמור</LawyerOfficeName>
        <LawyerOfficeID>15878355</LawyerOfficeID>
        <GroupPartyAlias/>
        <IsConverted>false</IsConverted>
        <LegalEntityNameID>17525454</LegalEntityNameID>
        <RepresentatedNamesOfAssistant/>
        <LegalEntityTypeID>4</LegalEntityTypeID>
        <IsVerdictExists>false</IsVerdictExists>
        <IsAsirAzir>false</IsAsirAzir>
        <IsPublicationProhibited>false</IsPublicationProhibited>
        <PublicationProhibitedFullName>סעיד סמור</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מותקאל חלבי</FullName>
        <FirstName>מותקאל</FirstName>
        <LastName>חלבי</LastName>
        <PartyPropertyName/>
        <AuthenticationTypeAndNumber>ת"ז 020194882</AuthenticationTypeAndNumber>
        <RepresentatedOrRepresentativesNames>אושר הרוש</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259006134</CasePartyID>
        <PartyTypeID>1</PartyTypeID>
        <ActivityStatusID>1</ActivityStatusID>
        <PartyAliasID>4</PartyAliasID>
        <PartyAliasName>משיב</PartyAliasName>
        <OrdinalNumber>1</OrdinalNumber>
        <LegalEntityID>3716113</LegalEntityID>
        <CaseLegalEntityID>125384511</CaseLegalEntityID>
        <AuthenticationTypeID>1</AuthenticationTypeID>
        <AuthenticationTypeName>ת"ז</AuthenticationTypeName>
        <LegalEntityNumber>020194882</LegalEntityNumber>
        <IsMainPartyType>true</IsMainPartyType>
        <CaseDisplayIdentifier>72198-07-23</CaseDisplayIdentifier>
        <CaseTypeID>10074</CaseTypeID>
        <CaseTypeName>רשות ערעור משפחה (רמ"ש)</CaseTypeName>
        <CaseName>עווד(המנוח) ואח' נ' חלבי ואח'</CaseName>
        <FullAddress>דאלית אל-כרמל </FullAddress>
        <MotionID>0</MotionID>
        <CasePleaID>0</CasePleaID>
        <FatherName>פהד</FatherName>
        <LinkedCaseID>0</LinkedCaseID>
        <PartyID>2</PartyID>
        <CasePartyCategoryID>2</CasePartyCategoryID>
        <LegalEntityAddressID>88237538</LegalEntityAddressID>
        <PleaTypeID>5</PleaTypeID>
        <GroupPartyAlias>משיבים</GroupPartyAlias>
        <IsConverted>false</IsConverted>
        <LegalEntityNameID>95005301</LegalEntityNameID>
        <RepresentatedNamesOfAssistant/>
        <LegalEntityTypeID>1</LegalEntityTypeID>
        <IsVerdictExists>false</IsVerdictExists>
        <IsAsirAzir>false</IsAsirAzir>
        <IsPublicationProhibited>false</IsPublicationProhibited>
        <PublicationProhibitedFullName>מותקאל חלבי</PublicationProhibitedFullName>
      </CaseParties>
      <CaseParties>
        <PartyTypeName>צד</PartyTypeName>
        <ProceedingType>כתב טענות עיקרי</ProceedingType>
        <PleaName>כתב בקשה</PleaName>
        <PartyBelonging>צד א'</PartyBelonging>
        <RoleName>מבקש 2 - תובע</RoleName>
        <IsSubProceeding>FALSE</IsSubProceeding>
        <FullName>פרג סלימאן עווד</FullName>
        <FirstName>פרג</FirstName>
        <LastName>עווד</LastName>
        <PartyPropertyName/>
        <AuthenticationTypeAndNumber>ת"ז 058910662</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259006129</CasePartyID>
        <PartyTypeID>1</PartyTypeID>
        <ActivityStatusID>1</ActivityStatusID>
        <PartyAliasID>3</PartyAliasID>
        <PartyAliasName>מבקש</PartyAliasName>
        <OrdinalNumber>2</OrdinalNumber>
        <LegalEntityID>6206043</LegalEntityID>
        <CaseLegalEntityID>125384506</CaseLegalEntityID>
        <AuthenticationTypeID>1</AuthenticationTypeID>
        <AuthenticationTypeName>ת"ז</AuthenticationTypeName>
        <LegalEntityNumber>058910662</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סלימאן</FatherName>
        <LinkedCaseID>0</LinkedCaseID>
        <PartyID>1</PartyID>
        <CasePartyCategoryID>2</CasePartyCategoryID>
        <PleaTypeID>5</PleaTypeID>
        <GroupPartyAlias>מבקשים</GroupPartyAlias>
        <IsConverted>false</IsConverted>
        <LegalEntityRegisteredNameID>2269138</LegalEntityRegisteredNameID>
        <LegalEntityNameID>95005300</LegalEntityNameID>
        <RepresentatedNamesOfAssistant/>
        <LegalEntityTypeID>1</LegalEntityTypeID>
        <IsVerdictExists>false</IsVerdictExists>
        <IsAsirAzir>false</IsAsirAzir>
        <IsPublicationProhibited>false</IsPublicationProhibited>
        <PublicationProhibitedFullName>פרג סלימאן עווד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מג'יד חלבי</FullName>
        <FirstName>מג'יד</FirstName>
        <LastName>חלבי</LastName>
        <PartyPropertyName/>
        <AuthenticationTypeAndNumber>ת"ז 036122554</AuthenticationTypeAndNumber>
        <RepresentatedOrRepresentativesNames>אושר הרוש</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259009895</CasePartyID>
        <PartyTypeID>1</PartyTypeID>
        <ActivityStatusID>1</ActivityStatusID>
        <PartyAliasID>4</PartyAliasID>
        <PartyAliasName>משיב</PartyAliasName>
        <OrdinalNumber>2</OrdinalNumber>
        <LegalEntityID>6161130</LegalEntityID>
        <CaseLegalEntityID>125385510</CaseLegalEntityID>
        <AuthenticationTypeID>1</AuthenticationTypeID>
        <AuthenticationTypeName>ת"ז</AuthenticationTypeName>
        <LegalEntityNumber>036122554</LegalEntityNumber>
        <IsMainPartyType>true</IsMainPartyType>
        <CaseDisplayIdentifier>72198-07-23</CaseDisplayIdentifier>
        <CaseTypeID>10074</CaseTypeID>
        <CaseTypeName>רשות ערעור משפחה (רמ"ש)</CaseTypeName>
        <CaseName>עווד(המנוח) ואח' נ' חלבי ואח'</CaseName>
        <FullAddress>דאלית אל-כרמל </FullAddress>
        <MotionID>0</MotionID>
        <CasePleaID>0</CasePleaID>
        <BirthDate>1979-10-15T00:00:00+02:00</BirthDate>
        <FatherName>מותקאל</FatherName>
        <LinkedCaseID>0</LinkedCaseID>
        <PartyID>2</PartyID>
        <CasePartyCategoryID>2</CasePartyCategoryID>
        <LegalEntityAddressID>88237546</LegalEntityAddressID>
        <PleaTypeID>5</PleaTypeID>
        <GroupPartyAlias>משיבים</GroupPartyAlias>
        <IsConverted>false</IsConverted>
        <LegalEntityRegisteredNameID>3372783</LegalEntityRegisteredNameID>
        <LegalEntityNameID>95258356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מג'יד חלבי</PublicationProhibitedFullName>
      </CaseParties>
      <CaseParties>
        <PartyTypeName>צד</PartyTypeName>
        <ProceedingType>כתב טענות עיקרי</ProceedingType>
        <PleaName>כתב בקשה</PleaName>
        <PartyBelonging>צד א'</PartyBelonging>
        <RoleName>מבקש 3 - תובע</RoleName>
        <IsSubProceeding>FALSE</IsSubProceeding>
        <FullName>פהד סליאמן עווד</FullName>
        <FirstName>סלימאן</FirstName>
        <LastName>עווד</LastName>
        <PartyPropertyName/>
        <AuthenticationTypeAndNumber>ת"ז 020194825</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259006130</CasePartyID>
        <PartyTypeID>1</PartyTypeID>
        <ActivityStatusID>1</ActivityStatusID>
        <PartyAliasID>3</PartyAliasID>
        <PartyAliasName>מבקש</PartyAliasName>
        <OrdinalNumber>3</OrdinalNumber>
        <LegalEntityID>81272528</LegalEntityID>
        <CaseLegalEntityID>125384507</CaseLegalEntityID>
        <AuthenticationTypeID>1</AuthenticationTypeID>
        <AuthenticationTypeName>ת"ז</AuthenticationTypeName>
        <LegalEntityNumber>020194825</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פהד</FatherName>
        <LinkedCaseID>0</LinkedCaseID>
        <PartyID>1</PartyID>
        <CasePartyCategoryID>2</CasePartyCategoryID>
        <PleaTypeID>5</PleaTypeID>
        <GroupPartyAlias>מבקשים</GroupPartyAlias>
        <IsConverted>false</IsConverted>
        <LegalEntityRegisteredNameID>10377656</LegalEntityRegisteredNameID>
        <LegalEntityNameID>95006143</LegalEntityNameID>
        <RepresentatedNamesOfAssistant/>
        <LegalEntityTypeID>1</LegalEntityTypeID>
        <IsVerdictExists>false</IsVerdictExists>
        <IsAsirAzir>false</IsAsirAzir>
        <IsPublicationProhibited>false</IsPublicationProhibited>
        <PublicationProhibitedFullName>פהד סליאמן עווד</PublicationProhibitedFullName>
      </CaseParties>
      <CaseParties>
        <PartyTypeName>צד</PartyTypeName>
        <ProceedingType>כתב טענות עיקרי</ProceedingType>
        <PleaName>כתב בקשה</PleaName>
        <PartyBelonging>צד א'</PartyBelonging>
        <RoleName>מבקש 4 - נתבע</RoleName>
        <IsSubProceeding>FALSE</IsSubProceeding>
        <FullName>פרח סלימאן חלבי (המנוח)</FullName>
        <FirstName>פרח</FirstName>
        <LastName>חלבי</LastName>
        <PartyPropertyID>12</PartyPropertyID>
        <PartyPropertyName/>
        <AuthenticationTypeAndNumber>ת"ז 057553075</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259006131</CasePartyID>
        <PartyTypeID>1</PartyTypeID>
        <ActivityStatusID>1</ActivityStatusID>
        <PartyAliasID>3</PartyAliasID>
        <PartyAliasName>מבקש</PartyAliasName>
        <OrdinalNumber>4</OrdinalNumber>
        <LegalEntityID>45294803</LegalEntityID>
        <CaseLegalEntityID>125384508</CaseLegalEntityID>
        <AuthenticationTypeID>1</AuthenticationTypeID>
        <AuthenticationTypeName>ת"ז</AuthenticationTypeName>
        <LegalEntityNumber>057553075</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סלימאן</FatherName>
        <LinkedCaseID>0</LinkedCaseID>
        <PartyID>1</PartyID>
        <CasePartyCategoryID>2</CasePartyCategoryID>
        <PleaTypeID>5</PleaTypeID>
        <GroupPartyAlias>מבקשים</GroupPartyAlias>
        <IsConverted>false</IsConverted>
        <LegalEntityRegisteredNameID>2001647</LegalEntityRegisteredNameID>
        <LegalEntityNameID>95006203</LegalEntityNameID>
        <RepresentatedNamesOfAssistant/>
        <LegalEntityTypeID>1</LegalEntityTypeID>
        <IsVerdictExists>false</IsVerdictExists>
        <IsAsirAzir>false</IsAsirAzir>
        <IsPublicationProhibited>false</IsPublicationProhibited>
        <PublicationProhibitedFullName>פרח סלימאן חלבי (המנוח)</PublicationProhibitedFullName>
      </CaseParties>
      <CaseParties>
        <PartyTypeName>צד</PartyTypeName>
        <ProceedingType>כתב טענות עיקרי</ProceedingType>
        <PleaName>כתב בקשה</PleaName>
        <PartyBelonging>צד א'</PartyBelonging>
        <RoleName>מבקש 5 - תובע</RoleName>
        <IsSubProceeding>FALSE</IsSubProceeding>
        <FullName>דליה סאלם חלבי</FullName>
        <FirstName>דאליה</FirstName>
        <LastName>חלבי</LastName>
        <PartyPropertyName/>
        <AuthenticationTypeAndNumber>ת"ז 059477901</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259006132</CasePartyID>
        <PartyTypeID>1</PartyTypeID>
        <ActivityStatusID>1</ActivityStatusID>
        <PartyAliasID>3</PartyAliasID>
        <PartyAliasName>מבקש</PartyAliasName>
        <OrdinalNumber>5</OrdinalNumber>
        <LegalEntityID>69555831</LegalEntityID>
        <CaseLegalEntityID>125384509</CaseLegalEntityID>
        <AuthenticationTypeID>1</AuthenticationTypeID>
        <AuthenticationTypeName>ת"ז</AuthenticationTypeName>
        <LegalEntityNumber>059477901</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סאלם</FatherName>
        <LinkedCaseID>0</LinkedCaseID>
        <PartyID>1</PartyID>
        <CasePartyCategoryID>2</CasePartyCategoryID>
        <PleaTypeID>5</PleaTypeID>
        <GroupPartyAlias>מבקשים</GroupPartyAlias>
        <IsConverted>false</IsConverted>
        <LegalEntityRegisteredNameID>10377659</LegalEntityRegisteredNameID>
        <LegalEntityNameID>95006148</LegalEntityNameID>
        <RepresentatedNamesOfAssistant/>
        <LegalEntityTypeID>1</LegalEntityTypeID>
        <IsVerdictExists>false</IsVerdictExists>
        <IsAsirAzir>false</IsAsirAzir>
        <IsPublicationProhibited>false</IsPublicationProhibited>
        <PublicationProhibitedFullName>דליה סאלם חלבי</PublicationProhibitedFullName>
      </CaseParties>
      <CaseParties>
        <PartyTypeName>צד</PartyTypeName>
        <ProceedingType>כתב טענות עיקרי</ProceedingType>
        <PleaName>כתב בקשה</PleaName>
        <PartyBelonging>צד א'</PartyBelonging>
        <RoleName>מבקש 6 - תובע</RoleName>
        <IsSubProceeding>FALSE</IsSubProceeding>
        <FullName>סלימאן פרח חלבי</FullName>
        <FirstName>סלימאן</FirstName>
        <LastName>חלבי</LastName>
        <PartyPropertyName/>
        <AuthenticationTypeAndNumber>ת"ז 201533189</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259006133</CasePartyID>
        <PartyTypeID>1</PartyTypeID>
        <ActivityStatusID>1</ActivityStatusID>
        <PartyAliasID>3</PartyAliasID>
        <PartyAliasName>מבקש</PartyAliasName>
        <OrdinalNumber>6</OrdinalNumber>
        <LegalEntityID>78422644</LegalEntityID>
        <CaseLegalEntityID>125384510</CaseLegalEntityID>
        <AuthenticationTypeID>1</AuthenticationTypeID>
        <AuthenticationTypeName>ת"ז</AuthenticationTypeName>
        <LegalEntityNumber>201533189</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פרח</FatherName>
        <LinkedCaseID>0</LinkedCaseID>
        <PartyID>1</PartyID>
        <CasePartyCategoryID>2</CasePartyCategoryID>
        <PleaTypeID>5</PleaTypeID>
        <GroupPartyAlias>מבקשים</GroupPartyAlias>
        <IsConverted>false</IsConverted>
        <LegalEntityRegisteredNameID>8815886</LegalEntityRegisteredNameID>
        <LegalEntityNameID>95006153</LegalEntityNameID>
        <RepresentatedNamesOfAssistant/>
        <LegalEntityTypeID>1</LegalEntityTypeID>
        <IsVerdictExists>false</IsVerdictExists>
        <IsAsirAzir>false</IsAsirAzir>
        <IsPublicationProhibited>false</IsPublicationProhibited>
        <PublicationProhibitedFullName>סלימאן פרח חלבי</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2023-08-18T14:11:07.803445+03:00</DecisionSignatureDate>
    <OpenCaseDate>2023-07-31T13:21:00+03:00</OpenCaseDate>
    <CaseFeeSum>0.000</CaseFeeSum>
    <DecisionTypeID>2</DecisionTypeID>
    <DecisionSignatureUserName>חננאל שרעבי</DecisionSignatureUserName>
    <DecisionSignatureDateHebrew>2023-08-18T14:11:07.803445+03:00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עווד(המנוח) ואח' נ' חלבי ואח'</CaseName>
    <DecisionNumberInCase>20</DecisionNumberInCase>
  </dt_Decision>
  <dt_DecisionCase>
    <DecisionID>0</DecisionID>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אושר הרוש</FullName>
        <FirstName>אושר</FirstName>
        <LastName>הרוש</LastName>
        <PartyPropertyName/>
        <AuthenticationTypeAndNumber>מ.ר. 64392</AuthenticationTypeAndNumber>
        <RepresentatedOrRepresentativesNames>מג'יד חלבי, מותקאל חלבי</RepresentatedOrRepresentativesNames>
        <RepresentatedOrRepresentativesCount>2</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259210074</CasePartyID>
        <PartyTypeID>2</PartyTypeID>
        <ActivityStatusID>1</ActivityStatusID>
        <PartyAliasID>23</PartyAliasID>
        <PartyAliasName>בא כוח משיבים</PartyAliasName>
        <LegalEntityID>72645245</LegalEntityID>
        <CaseLegalEntityID>125460136</CaseLegalEntityID>
        <AuthenticationTypeID>4</AuthenticationTypeID>
        <AuthenticationTypeName>מ.ר.</AuthenticationTypeName>
        <LegalEntityNumber>64392</LegalEntityNumber>
        <IsMainPartyType>true</IsMainPartyType>
        <CaseDisplayIdentifier>72198-07-23</CaseDisplayIdentifier>
        <CaseTypeID>10074</CaseTypeID>
        <CaseTypeName>רשות ערעור משפחה (רמ"ש)</CaseTypeName>
        <CaseName>עווד(המנוח) ואח' נ' חלבי ואח'</CaseName>
        <FullAddress>נוף גלעד 171 בית שאן </FullAddress>
        <EmailAddress>osherh1@gmail.com</EmailAddress>
        <MotionID>0</MotionID>
        <CasePleaID>0</CasePleaID>
        <LinkedCaseID>0</LinkedCaseID>
        <PartyID>2</PartyID>
        <CasePartyCategoryID>2</CasePartyCategoryID>
        <LegalEntityAddressID>74743050</LegalEntityAddressID>
        <LegalEntityEmailAddressID>67852027</LegalEntityEmailAddressID>
        <PleaTypeID>5</PleaTypeID>
        <LawyerOfficeName>משרד עו"ד אושר הרוש</LawyerOfficeName>
        <LawyerOfficeID>72645246</LawyerOfficeID>
        <GroupPartyAlias/>
        <IsConverted>false</IsConverted>
        <LegalEntityNameID>76738833</LegalEntityNameID>
        <RepresentatedNamesOfAssistant/>
        <LegalEntityTypeID>4</LegalEntityTypeID>
        <IsVerdictExists>false</IsVerdictExists>
        <IsAsirAzir>false</IsAsirAzir>
        <IsPublicationProhibited>false</IsPublicationProhibited>
        <PublicationProhibitedFullName>אושר הרוש</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פואזה עווד (המנוח)</FullName>
        <FirstName>פואזה</FirstName>
        <LastName>עווד</LastName>
        <PartyPropertyID>12</PartyPropertyID>
        <PartyPropertyName/>
        <AuthenticationTypeAndNumber>ת"ז 020436044</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259006128</CasePartyID>
        <PartyTypeID>1</PartyTypeID>
        <ActivityStatusID>1</ActivityStatusID>
        <PartyAliasID>3</PartyAliasID>
        <PartyAliasName>מבקש</PartyAliasName>
        <OrdinalNumber>1</OrdinalNumber>
        <LegalEntityID>6121126</LegalEntityID>
        <CaseLegalEntityID>125384505</CaseLegalEntityID>
        <AuthenticationTypeID>1</AuthenticationTypeID>
        <AuthenticationTypeName>ת"ז</AuthenticationTypeName>
        <LegalEntityNumber>020436044</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חסין</FatherName>
        <LinkedCaseID>0</LinkedCaseID>
        <PartyID>1</PartyID>
        <CasePartyCategoryID>2</CasePartyCategoryID>
        <PleaTypeID>5</PleaTypeID>
        <GroupPartyAlias>מבקשים</GroupPartyAlias>
        <IsConverted>false</IsConverted>
        <LegalEntityRegisteredNameID>10377671</LegalEntityRegisteredNameID>
        <LegalEntityNameID>95006217</LegalEntityNameID>
        <RepresentatedNamesOfAssistant/>
        <LegalEntityTypeID>1</LegalEntityTypeID>
        <IsVerdictExists>false</IsVerdictExists>
        <IsAsirAzir>false</IsAsirAzir>
        <IsPublicationProhibited>false</IsPublicationProhibited>
        <PublicationProhibitedFullName>פואזה עווד (המנוח)</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סעיד סמור</FullName>
        <FirstName>סעיד</FirstName>
        <LastName>סמור</LastName>
        <PartyPropertyName/>
        <AuthenticationTypeAndNumber>מ.ר. 47993</AuthenticationTypeAndNumber>
        <RepresentatedOrRepresentativesNames>דליה סאלם חלבי, סלימאן פרח חלבי, פרח סלימאן חלבי, פהד סליאמן עווד, פואזה עווד, פרג סלימאן עווד</RepresentatedOrRepresentativesNames>
        <RepresentatedOrRepresentativesCount>6</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259006136</CasePartyID>
        <PartyTypeID>2</PartyTypeID>
        <ActivityStatusID>1</ActivityStatusID>
        <PartyAliasID>22</PartyAliasID>
        <PartyAliasName>בא כוח מבקשים</PartyAliasName>
        <OrdinalNumber>1</OrdinalNumber>
        <LegalEntityID>15878354</LegalEntityID>
        <CaseLegalEntityID>125384513</CaseLegalEntityID>
        <AuthenticationTypeID>4</AuthenticationTypeID>
        <AuthenticationTypeName>מ.ר.</AuthenticationTypeName>
        <LegalEntityNumber>47993</LegalEntityNumber>
        <IsMainPartyType>true</IsMainPartyType>
        <CaseDisplayIdentifier>72198-07-23</CaseDisplayIdentifier>
        <CaseTypeID>10074</CaseTypeID>
        <CaseTypeName>רשות ערעור משפחה (רמ"ש)</CaseTypeName>
        <CaseName>עווד(המנוח) ואח' נ' חלבי ואח'</CaseName>
        <FullAddress>שפרעם שפרעם</FullAddress>
        <MotionID>0</MotionID>
        <CasePleaID>0</CasePleaID>
        <LinkedCaseID>0</LinkedCaseID>
        <PartyID>1</PartyID>
        <CasePartyCategoryID>2</CasePartyCategoryID>
        <LegalEntityAddressID>16144797</LegalEntityAddressID>
        <PleaTypeID>5</PleaTypeID>
        <LawyerOfficeName>משרד עו"ד סעיד סמור</LawyerOfficeName>
        <LawyerOfficeID>15878355</LawyerOfficeID>
        <GroupPartyAlias/>
        <IsConverted>false</IsConverted>
        <LegalEntityNameID>17525454</LegalEntityNameID>
        <RepresentatedNamesOfAssistant/>
        <LegalEntityTypeID>4</LegalEntityTypeID>
        <IsVerdictExists>false</IsVerdictExists>
        <IsAsirAzir>false</IsAsirAzir>
        <IsPublicationProhibited>false</IsPublicationProhibited>
        <PublicationProhibitedFullName>סעיד סמור</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מותקאל חלבי</FullName>
        <FirstName>מותקאל</FirstName>
        <LastName>חלבי</LastName>
        <PartyPropertyName/>
        <AuthenticationTypeAndNumber>ת"ז 020194882</AuthenticationTypeAndNumber>
        <RepresentatedOrRepresentativesNames>אושר הרוש</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259006134</CasePartyID>
        <PartyTypeID>1</PartyTypeID>
        <ActivityStatusID>1</ActivityStatusID>
        <PartyAliasID>4</PartyAliasID>
        <PartyAliasName>משיב</PartyAliasName>
        <OrdinalNumber>1</OrdinalNumber>
        <LegalEntityID>3716113</LegalEntityID>
        <CaseLegalEntityID>125384511</CaseLegalEntityID>
        <AuthenticationTypeID>1</AuthenticationTypeID>
        <AuthenticationTypeName>ת"ז</AuthenticationTypeName>
        <LegalEntityNumber>020194882</LegalEntityNumber>
        <IsMainPartyType>true</IsMainPartyType>
        <CaseDisplayIdentifier>72198-07-23</CaseDisplayIdentifier>
        <CaseTypeID>10074</CaseTypeID>
        <CaseTypeName>רשות ערעור משפחה (רמ"ש)</CaseTypeName>
        <CaseName>עווד(המנוח) ואח' נ' חלבי ואח'</CaseName>
        <FullAddress>דאלית אל-כרמל </FullAddress>
        <MotionID>0</MotionID>
        <CasePleaID>0</CasePleaID>
        <FatherName>פהד</FatherName>
        <LinkedCaseID>0</LinkedCaseID>
        <PartyID>2</PartyID>
        <CasePartyCategoryID>2</CasePartyCategoryID>
        <LegalEntityAddressID>88237538</LegalEntityAddressID>
        <PleaTypeID>5</PleaTypeID>
        <GroupPartyAlias>משיבים</GroupPartyAlias>
        <IsConverted>false</IsConverted>
        <LegalEntityNameID>95005301</LegalEntityNameID>
        <RepresentatedNamesOfAssistant/>
        <LegalEntityTypeID>1</LegalEntityTypeID>
        <IsVerdictExists>false</IsVerdictExists>
        <IsAsirAzir>false</IsAsirAzir>
        <IsPublicationProhibited>false</IsPublicationProhibited>
        <PublicationProhibitedFullName>מותקאל חלבי</PublicationProhibitedFullName>
      </CaseParties>
      <CaseParties>
        <PartyTypeName>צד</PartyTypeName>
        <ProceedingType>כתב טענות עיקרי</ProceedingType>
        <PleaName>כתב בקשה</PleaName>
        <PartyBelonging>צד א'</PartyBelonging>
        <RoleName>מבקש 2 - תובע</RoleName>
        <IsSubProceeding>FALSE</IsSubProceeding>
        <FullName>פרג סלימאן עווד</FullName>
        <FirstName>פרג</FirstName>
        <LastName>עווד</LastName>
        <PartyPropertyName/>
        <AuthenticationTypeAndNumber>ת"ז 058910662</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259006129</CasePartyID>
        <PartyTypeID>1</PartyTypeID>
        <ActivityStatusID>1</ActivityStatusID>
        <PartyAliasID>3</PartyAliasID>
        <PartyAliasName>מבקש</PartyAliasName>
        <OrdinalNumber>2</OrdinalNumber>
        <LegalEntityID>6206043</LegalEntityID>
        <CaseLegalEntityID>125384506</CaseLegalEntityID>
        <AuthenticationTypeID>1</AuthenticationTypeID>
        <AuthenticationTypeName>ת"ז</AuthenticationTypeName>
        <LegalEntityNumber>058910662</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סלימאן</FatherName>
        <LinkedCaseID>0</LinkedCaseID>
        <PartyID>1</PartyID>
        <CasePartyCategoryID>2</CasePartyCategoryID>
        <PleaTypeID>5</PleaTypeID>
        <GroupPartyAlias>מבקשים</GroupPartyAlias>
        <IsConverted>false</IsConverted>
        <LegalEntityRegisteredNameID>2269138</LegalEntityRegisteredNameID>
        <LegalEntityNameID>95005300</LegalEntityNameID>
        <RepresentatedNamesOfAssistant/>
        <LegalEntityTypeID>1</LegalEntityTypeID>
        <IsVerdictExists>false</IsVerdictExists>
        <IsAsirAzir>false</IsAsirAzir>
        <IsPublicationProhibited>false</IsPublicationProhibited>
        <PublicationProhibitedFullName>פרג סלימאן עווד</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מג'יד חלבי</FullName>
        <FirstName>מג'יד</FirstName>
        <LastName>חלבי</LastName>
        <PartyPropertyName/>
        <AuthenticationTypeAndNumber>ת"ז 036122554</AuthenticationTypeAndNumber>
        <RepresentatedOrRepresentativesNames>אושר הרוש</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259009895</CasePartyID>
        <PartyTypeID>1</PartyTypeID>
        <ActivityStatusID>1</ActivityStatusID>
        <PartyAliasID>4</PartyAliasID>
        <PartyAliasName>משיב</PartyAliasName>
        <OrdinalNumber>2</OrdinalNumber>
        <LegalEntityID>6161130</LegalEntityID>
        <CaseLegalEntityID>125385510</CaseLegalEntityID>
        <AuthenticationTypeID>1</AuthenticationTypeID>
        <AuthenticationTypeName>ת"ז</AuthenticationTypeName>
        <LegalEntityNumber>036122554</LegalEntityNumber>
        <IsMainPartyType>true</IsMainPartyType>
        <CaseDisplayIdentifier>72198-07-23</CaseDisplayIdentifier>
        <CaseTypeID>10074</CaseTypeID>
        <CaseTypeName>רשות ערעור משפחה (רמ"ש)</CaseTypeName>
        <CaseName>עווד(המנוח) ואח' נ' חלבי ואח'</CaseName>
        <FullAddress>דאלית אל-כרמל </FullAddress>
        <MotionID>0</MotionID>
        <CasePleaID>0</CasePleaID>
        <BirthDate>1979-10-15T00:00:00+02:00</BirthDate>
        <FatherName>מותקאל</FatherName>
        <LinkedCaseID>0</LinkedCaseID>
        <PartyID>2</PartyID>
        <CasePartyCategoryID>2</CasePartyCategoryID>
        <LegalEntityAddressID>88237546</LegalEntityAddressID>
        <PleaTypeID>5</PleaTypeID>
        <GroupPartyAlias>משיבים</GroupPartyAlias>
        <IsConverted>false</IsConverted>
        <LegalEntityRegisteredNameID>3372783</LegalEntityRegisteredNameID>
        <LegalEntityNameID>95258356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מג'יד חלבי</PublicationProhibitedFullName>
      </CaseParties>
      <CaseParties>
        <PartyTypeName>צד</PartyTypeName>
        <ProceedingType>כתב טענות עיקרי</ProceedingType>
        <PleaName>כתב בקשה</PleaName>
        <PartyBelonging>צד א'</PartyBelonging>
        <RoleName>מבקש 3 - תובע</RoleName>
        <IsSubProceeding>FALSE</IsSubProceeding>
        <FullName>פהד סליאמן עווד</FullName>
        <FirstName>סלימאן</FirstName>
        <LastName>עווד</LastName>
        <PartyPropertyName/>
        <AuthenticationTypeAndNumber>ת"ז 020194825</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259006130</CasePartyID>
        <PartyTypeID>1</PartyTypeID>
        <ActivityStatusID>1</ActivityStatusID>
        <PartyAliasID>3</PartyAliasID>
        <PartyAliasName>מבקש</PartyAliasName>
        <OrdinalNumber>3</OrdinalNumber>
        <LegalEntityID>81272528</LegalEntityID>
        <CaseLegalEntityID>125384507</CaseLegalEntityID>
        <AuthenticationTypeID>1</AuthenticationTypeID>
        <AuthenticationTypeName>ת"ז</AuthenticationTypeName>
        <LegalEntityNumber>020194825</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פהד</FatherName>
        <LinkedCaseID>0</LinkedCaseID>
        <PartyID>1</PartyID>
        <CasePartyCategoryID>2</CasePartyCategoryID>
        <PleaTypeID>5</PleaTypeID>
        <GroupPartyAlias>מבקשים</GroupPartyAlias>
        <IsConverted>false</IsConverted>
        <LegalEntityRegisteredNameID>10377656</LegalEntityRegisteredNameID>
        <LegalEntityNameID>95006143</LegalEntityNameID>
        <RepresentatedNamesOfAssistant/>
        <LegalEntityTypeID>1</LegalEntityTypeID>
        <IsVerdictExists>false</IsVerdictExists>
        <IsAsirAzir>false</IsAsirAzir>
        <IsPublicationProhibited>false</IsPublicationProhibited>
        <PublicationProhibitedFullName>פהד סליאמן עווד</PublicationProhibitedFullName>
      </CaseParties>
      <CaseParties>
        <PartyTypeName>צד</PartyTypeName>
        <ProceedingType>כתב טענות עיקרי</ProceedingType>
        <PleaName>כתב בקשה</PleaName>
        <PartyBelonging>צד א'</PartyBelonging>
        <RoleName>מבקש 4 - נתבע</RoleName>
        <IsSubProceeding>FALSE</IsSubProceeding>
        <FullName>פרח סלימאן חלבי (המנוח)</FullName>
        <FirstName>פרח</FirstName>
        <LastName>חלבי</LastName>
        <PartyPropertyID>12</PartyPropertyID>
        <PartyPropertyName/>
        <AuthenticationTypeAndNumber>ת"ז 057553075</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259006131</CasePartyID>
        <PartyTypeID>1</PartyTypeID>
        <ActivityStatusID>1</ActivityStatusID>
        <PartyAliasID>3</PartyAliasID>
        <PartyAliasName>מבקש</PartyAliasName>
        <OrdinalNumber>4</OrdinalNumber>
        <LegalEntityID>45294803</LegalEntityID>
        <CaseLegalEntityID>125384508</CaseLegalEntityID>
        <AuthenticationTypeID>1</AuthenticationTypeID>
        <AuthenticationTypeName>ת"ז</AuthenticationTypeName>
        <LegalEntityNumber>057553075</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סלימאן</FatherName>
        <LinkedCaseID>0</LinkedCaseID>
        <PartyID>1</PartyID>
        <CasePartyCategoryID>2</CasePartyCategoryID>
        <PleaTypeID>5</PleaTypeID>
        <GroupPartyAlias>מבקשים</GroupPartyAlias>
        <IsConverted>false</IsConverted>
        <LegalEntityRegisteredNameID>2001647</LegalEntityRegisteredNameID>
        <LegalEntityNameID>95006203</LegalEntityNameID>
        <RepresentatedNamesOfAssistant/>
        <LegalEntityTypeID>1</LegalEntityTypeID>
        <IsVerdictExists>false</IsVerdictExists>
        <IsAsirAzir>false</IsAsirAzir>
        <IsPublicationProhibited>false</IsPublicationProhibited>
        <PublicationProhibitedFullName>פרח סלימאן חלבי (המנוח)</PublicationProhibitedFullName>
      </CaseParties>
      <CaseParties>
        <PartyTypeName>צד</PartyTypeName>
        <ProceedingType>כתב טענות עיקרי</ProceedingType>
        <PleaName>כתב בקשה</PleaName>
        <PartyBelonging>צד א'</PartyBelonging>
        <RoleName>מבקש 5 - תובע</RoleName>
        <IsSubProceeding>FALSE</IsSubProceeding>
        <FullName>דליה סאלם חלבי</FullName>
        <FirstName>דאליה</FirstName>
        <LastName>חלבי</LastName>
        <PartyPropertyName/>
        <AuthenticationTypeAndNumber>ת"ז 059477901</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259006132</CasePartyID>
        <PartyTypeID>1</PartyTypeID>
        <ActivityStatusID>1</ActivityStatusID>
        <PartyAliasID>3</PartyAliasID>
        <PartyAliasName>מבקש</PartyAliasName>
        <OrdinalNumber>5</OrdinalNumber>
        <LegalEntityID>69555831</LegalEntityID>
        <CaseLegalEntityID>125384509</CaseLegalEntityID>
        <AuthenticationTypeID>1</AuthenticationTypeID>
        <AuthenticationTypeName>ת"ז</AuthenticationTypeName>
        <LegalEntityNumber>059477901</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סאלם</FatherName>
        <LinkedCaseID>0</LinkedCaseID>
        <PartyID>1</PartyID>
        <CasePartyCategoryID>2</CasePartyCategoryID>
        <PleaTypeID>5</PleaTypeID>
        <GroupPartyAlias>מבקשים</GroupPartyAlias>
        <IsConverted>false</IsConverted>
        <LegalEntityRegisteredNameID>10377659</LegalEntityRegisteredNameID>
        <LegalEntityNameID>95006148</LegalEntityNameID>
        <RepresentatedNamesOfAssistant/>
        <LegalEntityTypeID>1</LegalEntityTypeID>
        <IsVerdictExists>false</IsVerdictExists>
        <IsAsirAzir>false</IsAsirAzir>
        <IsPublicationProhibited>false</IsPublicationProhibited>
        <PublicationProhibitedFullName>דליה סאלם חלבי</PublicationProhibitedFullName>
      </CaseParties>
      <CaseParties>
        <PartyTypeName>צד</PartyTypeName>
        <ProceedingType>כתב טענות עיקרי</ProceedingType>
        <PleaName>כתב בקשה</PleaName>
        <PartyBelonging>צד א'</PartyBelonging>
        <RoleName>מבקש 6 - תובע</RoleName>
        <IsSubProceeding>FALSE</IsSubProceeding>
        <FullName>סלימאן פרח חלבי</FullName>
        <FirstName>סלימאן</FirstName>
        <LastName>חלבי</LastName>
        <PartyPropertyName/>
        <AuthenticationTypeAndNumber>ת"ז 201533189</AuthenticationTypeAndNumber>
        <RepresentatedOrRepresentativesNames>סעיד סמור</RepresentatedOrRepresentativesNames>
        <RepresentatedOrRepresentativesCount>1</RepresentatedOrRepresentativesCount>
        <InvitedBy/>
        <CaseID>80475809</CaseID>
        <CaseJudicialPersonPresentationDS>
          <CaseJudicalPersonActive>
            <CaseID>80475809</CaseID>
            <JudicialPersonID>056479827@GOV.IL</JudicialPersonID>
            <JudicialPersonTypeID>1</JudicialPersonTypeID>
            <JudicialTypeID>1</JudicialTypeID>
            <IsChairman>false</IsChairman>
            <TreatmentStartDate>2023-08-10T15:17:35.797+03:00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259006133</CasePartyID>
        <PartyTypeID>1</PartyTypeID>
        <ActivityStatusID>1</ActivityStatusID>
        <PartyAliasID>3</PartyAliasID>
        <PartyAliasName>מבקש</PartyAliasName>
        <OrdinalNumber>6</OrdinalNumber>
        <LegalEntityID>78422644</LegalEntityID>
        <CaseLegalEntityID>125384510</CaseLegalEntityID>
        <AuthenticationTypeID>1</AuthenticationTypeID>
        <AuthenticationTypeName>ת"ז</AuthenticationTypeName>
        <LegalEntityNumber>201533189</LegalEntityNumber>
        <IsMainPartyType>true</IsMainPartyType>
        <CaseDisplayIdentifier>72198-07-23</CaseDisplayIdentifier>
        <CaseTypeID>10074</CaseTypeID>
        <CaseTypeName>רשות ערעור משפחה (רמ"ש)</CaseTypeName>
        <CaseName>עווד(המנוח) ואח' נ' חלבי ואח'</CaseName>
        <FullAddress/>
        <MotionID>0</MotionID>
        <CasePleaID>0</CasePleaID>
        <FatherName>פרח</FatherName>
        <LinkedCaseID>0</LinkedCaseID>
        <PartyID>1</PartyID>
        <CasePartyCategoryID>2</CasePartyCategoryID>
        <PleaTypeID>5</PleaTypeID>
        <GroupPartyAlias>מבקשים</GroupPartyAlias>
        <IsConverted>false</IsConverted>
        <LegalEntityRegisteredNameID>8815886</LegalEntityRegisteredNameID>
        <LegalEntityNameID>95006153</LegalEntityNameID>
        <RepresentatedNamesOfAssistant/>
        <LegalEntityTypeID>1</LegalEntityTypeID>
        <IsVerdictExists>false</IsVerdictExists>
        <IsAsirAzir>false</IsAsirAzir>
        <IsPublicationProhibited>false</IsPublicationProhibited>
        <PublicationProhibitedFullName>סלימאן פרח חלבי</PublicationProhibitedFullName>
      </CaseParties>
    </CasePartiesSelectionDS>
    <CaseName>עווד(המנוח) ואח' נ' חלבי ואח'</CaseName>
    <CaseDisplayIdentifier>72198-07-23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Fax>04-6581765</Fax>
    <Phone>04-8392545</Phone>
    <PartyID>2</PartyID>
    <PartyTypeID>2</PartyTypeID>
    <DecisionID>0</DecisionID>
    <StreetName>נוף גלעד 171</StreetName>
    <CityName>בית שאן</CityName>
    <FullName>אושר הרוש</FullName>
    <Email>osherh1@gmail.com</Email>
    <IsPublicationProhibited>false</IsPublicationProhibited>
  </dt_LegalEntityDetails>
  <dt_LegalEntityDetails>
    <PartyID>1</PartyID>
    <PartyTypeID>1</PartyTypeID>
    <DecisionID>0</DecisionID>
    <FullName>פואזה עווד</FullName>
    <IsPublicationProhibited>false</IsPublicationProhibited>
  </dt_LegalEntityDetails>
  <dt_LegalEntityDetails>
    <PartyID>2</PartyID>
    <PartyTypeID>1</PartyTypeID>
    <DecisionID>0</DecisionID>
    <ZipCode>3005600</ZipCode>
    <CityName>דאלית אל-כרמל</CityName>
    <FullName>מותקאל חלבי </FullName>
    <IsPublicationProhibited>false</IsPublicationProhibited>
  </dt_LegalEntityDetails>
  <dt_LegalEntityDetails>
    <Phone> 04-9861279</Phone>
    <AddressDesc>שפרעם</AddressDesc>
    <PartyID>1</PartyID>
    <PartyTypeID>2</PartyTypeID>
    <DecisionID>0</DecisionID>
    <StreetName/>
    <CityName>שפרעם</CityName>
    <FullName>סעיד סמור</FullName>
    <Email>sammor.law@gmail.com</Email>
    <IsPublicationProhibited>false</IsPublicationProhibited>
  </dt_LegalEntityDetails>
  <dt_LegalEntityDetails>
    <PartyID>1</PartyID>
    <PartyTypeID>1</PartyTypeID>
    <DecisionID>0</DecisionID>
    <FullName>פרג סלימאן עווד</FullName>
    <IsPublicationProhibited>false</IsPublicationProhibited>
  </dt_LegalEntityDetails>
  <dt_LegalEntityDetails>
    <PartyID>2</PartyID>
    <PartyTypeID>1</PartyTypeID>
    <DecisionID>0</DecisionID>
    <CityName>דאלית אל-כרמל</CityName>
    <FullName>מג'יד חלבי</FullName>
    <IsPublicationProhibited>false</IsPublicationProhibited>
  </dt_LegalEntityDetails>
  <dt_LegalEntityDetails>
    <PartyID>1</PartyID>
    <PartyTypeID>1</PartyTypeID>
    <DecisionID>0</DecisionID>
    <FullName>פהד סליאמן עווד</FullName>
    <IsPublicationProhibited>false</IsPublicationProhibited>
  </dt_LegalEntityDetails>
  <dt_LegalEntityDetails>
    <PartyID>1</PartyID>
    <PartyTypeID>1</PartyTypeID>
    <DecisionID>0</DecisionID>
    <FullName>פרח סלימאן חלבי</FullName>
    <IsPublicationProhibited>false</IsPublicationProhibited>
  </dt_LegalEntityDetails>
  <dt_LegalEntityDetails>
    <PartyID>1</PartyID>
    <PartyTypeID>1</PartyTypeID>
    <DecisionID>0</DecisionID>
    <FullName>דליה סאלם חלבי</FullName>
    <IsPublicationProhibited>false</IsPublicationProhibited>
  </dt_LegalEntityDetails>
  <dt_LegalEntityDetails>
    <PartyID>1</PartyID>
    <PartyTypeID>1</PartyTypeID>
    <DecisionID>0</DecisionID>
    <FullName>סלימאן פרח חלבי</FullName>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226ED-C6BB-4FE3-ABB6-F92E638FE258}">
  <ds:schemaRefs/>
</ds:datastoreItem>
</file>

<file path=customXml/itemProps2.xml><?xml version="1.0" encoding="utf-8"?>
<ds:datastoreItem xmlns:ds="http://schemas.openxmlformats.org/officeDocument/2006/customXml" ds:itemID="{1621EA42-51BA-4A05-AA12-F91A17B3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5013</Words>
  <Characters>25067</Characters>
  <Application>Microsoft Office Word</Application>
  <DocSecurity>0</DocSecurity>
  <Lines>208</Lines>
  <Paragraphs>60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2023-09-04T09:33:00Z</dcterms:created>
  <dcterms:modified xsi:type="dcterms:W3CDTF">2023-09-04T09:33:00Z</dcterms:modified>
</cp:coreProperties>
</file>